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94" w:rsidRDefault="00117694" w:rsidP="00072757">
      <w:pPr>
        <w:rPr>
          <w:rFonts w:ascii="Unit-Regular" w:hAnsi="Unit-Regular"/>
          <w:b/>
        </w:rPr>
      </w:pPr>
      <w:r>
        <w:rPr>
          <w:rFonts w:ascii="Unit-Regular" w:hAnsi="Unit-Regular"/>
          <w:b/>
        </w:rPr>
        <w:t>Stadt Regis-Breitingen</w:t>
      </w:r>
    </w:p>
    <w:p w:rsidR="00381E09" w:rsidRDefault="00381E09" w:rsidP="00072757">
      <w:pPr>
        <w:rPr>
          <w:rFonts w:ascii="Unit-Regular" w:hAnsi="Unit-Regular"/>
          <w:b/>
        </w:rPr>
      </w:pPr>
      <w:r>
        <w:rPr>
          <w:rFonts w:ascii="Unit-Regular" w:hAnsi="Unit-Regular"/>
          <w:b/>
        </w:rPr>
        <w:t>Der Bürgermeister</w:t>
      </w:r>
    </w:p>
    <w:p w:rsidR="00381E09" w:rsidRDefault="00381E09" w:rsidP="00072757">
      <w:pPr>
        <w:rPr>
          <w:rFonts w:ascii="Unit-Regular" w:hAnsi="Unit-Regular"/>
          <w:b/>
        </w:rPr>
      </w:pPr>
    </w:p>
    <w:p w:rsidR="00072757" w:rsidRDefault="00072757" w:rsidP="00072757">
      <w:pPr>
        <w:rPr>
          <w:rFonts w:ascii="Unit-Regular" w:hAnsi="Unit-Regular"/>
          <w:b/>
        </w:rPr>
      </w:pPr>
      <w:r w:rsidRPr="004A5171">
        <w:rPr>
          <w:rFonts w:ascii="Unit-Regular" w:hAnsi="Unit-Regular"/>
          <w:b/>
        </w:rPr>
        <w:t>Beschlussvorlage Nr.</w:t>
      </w:r>
      <w:r w:rsidR="007E17BC">
        <w:rPr>
          <w:rFonts w:ascii="Unit-Regular" w:hAnsi="Unit-Regular"/>
          <w:b/>
        </w:rPr>
        <w:t xml:space="preserve"> </w:t>
      </w:r>
      <w:r w:rsidR="000F196E">
        <w:rPr>
          <w:rFonts w:ascii="Unit-Regular" w:hAnsi="Unit-Regular"/>
          <w:b/>
        </w:rPr>
        <w:t xml:space="preserve">  </w:t>
      </w:r>
      <w:r w:rsidR="004E7B98">
        <w:rPr>
          <w:rFonts w:ascii="Unit-Regular" w:hAnsi="Unit-Regular"/>
          <w:b/>
        </w:rPr>
        <w:t>0</w:t>
      </w:r>
      <w:r w:rsidR="00C32A21">
        <w:rPr>
          <w:rFonts w:ascii="Unit-Regular" w:hAnsi="Unit-Regular"/>
          <w:b/>
        </w:rPr>
        <w:t>7</w:t>
      </w:r>
      <w:r w:rsidR="00381E09">
        <w:rPr>
          <w:rFonts w:ascii="Unit-Regular" w:hAnsi="Unit-Regular"/>
          <w:b/>
        </w:rPr>
        <w:t>/</w:t>
      </w:r>
      <w:r w:rsidR="004D7EF4">
        <w:rPr>
          <w:rFonts w:ascii="Unit-Regular" w:hAnsi="Unit-Regular"/>
          <w:b/>
        </w:rPr>
        <w:t>0</w:t>
      </w:r>
      <w:r w:rsidR="00AA6C32">
        <w:rPr>
          <w:rFonts w:ascii="Unit-Regular" w:hAnsi="Unit-Regular"/>
          <w:b/>
        </w:rPr>
        <w:t>8</w:t>
      </w:r>
      <w:r w:rsidR="00FE3B4E" w:rsidRPr="004A5171">
        <w:rPr>
          <w:rFonts w:ascii="Unit-Regular" w:hAnsi="Unit-Regular"/>
          <w:b/>
        </w:rPr>
        <w:t>/202</w:t>
      </w:r>
      <w:r w:rsidR="00DF2A18">
        <w:rPr>
          <w:rFonts w:ascii="Unit-Regular" w:hAnsi="Unit-Regular"/>
          <w:b/>
        </w:rPr>
        <w:t>5</w:t>
      </w:r>
      <w:r w:rsidR="00D51B9D">
        <w:rPr>
          <w:rFonts w:ascii="Unit-Regular" w:hAnsi="Unit-Regular"/>
          <w:b/>
        </w:rPr>
        <w:t xml:space="preserve"> </w:t>
      </w:r>
    </w:p>
    <w:p w:rsidR="004A5171" w:rsidRDefault="004A5171" w:rsidP="00072757">
      <w:pPr>
        <w:rPr>
          <w:rFonts w:ascii="Unit-Regular" w:hAnsi="Unit-Regular"/>
          <w:b/>
        </w:rPr>
      </w:pPr>
    </w:p>
    <w:tbl>
      <w:tblPr>
        <w:tblStyle w:val="Tabellenraster"/>
        <w:tblW w:w="0" w:type="auto"/>
        <w:tblBorders>
          <w:insideV w:val="none" w:sz="0" w:space="0" w:color="auto"/>
        </w:tblBorders>
        <w:tblLook w:val="04A0" w:firstRow="1" w:lastRow="0" w:firstColumn="1" w:lastColumn="0" w:noHBand="0" w:noVBand="1"/>
      </w:tblPr>
      <w:tblGrid>
        <w:gridCol w:w="8784"/>
        <w:gridCol w:w="278"/>
      </w:tblGrid>
      <w:tr w:rsidR="004A5171" w:rsidTr="00300971">
        <w:trPr>
          <w:trHeight w:val="680"/>
        </w:trPr>
        <w:tc>
          <w:tcPr>
            <w:tcW w:w="8784" w:type="dxa"/>
            <w:tcBorders>
              <w:bottom w:val="single" w:sz="4" w:space="0" w:color="000000" w:themeColor="text1"/>
            </w:tcBorders>
          </w:tcPr>
          <w:p w:rsidR="004A5171" w:rsidRDefault="00381E09" w:rsidP="00381E09">
            <w:pPr>
              <w:ind w:left="-120" w:firstLine="22"/>
              <w:rPr>
                <w:rFonts w:ascii="Unit-Regular" w:hAnsi="Unit-Regular"/>
                <w:b/>
                <w:sz w:val="20"/>
              </w:rPr>
            </w:pPr>
            <w:r w:rsidRPr="00381E09">
              <w:rPr>
                <w:rFonts w:ascii="Unit-Regular" w:hAnsi="Unit-Regular"/>
                <w:b/>
                <w:sz w:val="20"/>
              </w:rPr>
              <w:t>Einreicher:</w:t>
            </w:r>
          </w:p>
          <w:p w:rsidR="00381E09" w:rsidRDefault="000F196E" w:rsidP="00C32A21">
            <w:pPr>
              <w:ind w:left="-120" w:firstLine="22"/>
              <w:rPr>
                <w:rFonts w:ascii="Unit-Regular" w:hAnsi="Unit-Regular"/>
                <w:b/>
              </w:rPr>
            </w:pPr>
            <w:r>
              <w:rPr>
                <w:rFonts w:ascii="Unit-Regular" w:hAnsi="Unit-Regular"/>
                <w:b/>
              </w:rPr>
              <w:t>B</w:t>
            </w:r>
            <w:r w:rsidR="00C32A21">
              <w:rPr>
                <w:rFonts w:ascii="Unit-Regular" w:hAnsi="Unit-Regular"/>
                <w:b/>
              </w:rPr>
              <w:t>ürgermeister</w:t>
            </w:r>
          </w:p>
        </w:tc>
        <w:tc>
          <w:tcPr>
            <w:tcW w:w="278" w:type="dxa"/>
            <w:tcBorders>
              <w:bottom w:val="single" w:sz="4" w:space="0" w:color="000000" w:themeColor="text1"/>
            </w:tcBorders>
            <w:vAlign w:val="center"/>
          </w:tcPr>
          <w:p w:rsidR="004A5171" w:rsidRDefault="004A5171" w:rsidP="004A5171">
            <w:pPr>
              <w:ind w:left="0" w:firstLine="0"/>
              <w:jc w:val="right"/>
              <w:rPr>
                <w:rFonts w:ascii="Unit-Regular" w:hAnsi="Unit-Regular"/>
                <w:b/>
              </w:rPr>
            </w:pPr>
          </w:p>
        </w:tc>
      </w:tr>
      <w:tr w:rsidR="00381E09" w:rsidRPr="00381E09" w:rsidTr="00300971">
        <w:trPr>
          <w:trHeight w:val="283"/>
        </w:trPr>
        <w:tc>
          <w:tcPr>
            <w:tcW w:w="8784" w:type="dxa"/>
            <w:tcBorders>
              <w:left w:val="nil"/>
            </w:tcBorders>
            <w:vAlign w:val="center"/>
          </w:tcPr>
          <w:p w:rsidR="00381E09" w:rsidRPr="00381E09" w:rsidRDefault="00381E09" w:rsidP="00381E09">
            <w:pPr>
              <w:ind w:left="-120" w:firstLine="22"/>
              <w:jc w:val="center"/>
              <w:rPr>
                <w:rFonts w:ascii="Unit-Regular" w:hAnsi="Unit-Regular"/>
                <w:b/>
                <w:sz w:val="18"/>
              </w:rPr>
            </w:pPr>
          </w:p>
        </w:tc>
        <w:tc>
          <w:tcPr>
            <w:tcW w:w="278" w:type="dxa"/>
            <w:tcBorders>
              <w:right w:val="nil"/>
            </w:tcBorders>
            <w:vAlign w:val="center"/>
          </w:tcPr>
          <w:p w:rsidR="00381E09" w:rsidRPr="00381E09" w:rsidRDefault="00381E09" w:rsidP="00381E09">
            <w:pPr>
              <w:jc w:val="center"/>
              <w:rPr>
                <w:rFonts w:ascii="Unit-Regular" w:hAnsi="Unit-Regular"/>
                <w:b/>
                <w:sz w:val="18"/>
              </w:rPr>
            </w:pPr>
          </w:p>
        </w:tc>
      </w:tr>
      <w:tr w:rsidR="00381E09" w:rsidTr="00300971">
        <w:trPr>
          <w:trHeight w:val="680"/>
        </w:trPr>
        <w:tc>
          <w:tcPr>
            <w:tcW w:w="8784" w:type="dxa"/>
          </w:tcPr>
          <w:p w:rsidR="00381E09" w:rsidRDefault="00381E09" w:rsidP="00381E09">
            <w:pPr>
              <w:ind w:left="-120" w:firstLine="22"/>
              <w:rPr>
                <w:rFonts w:ascii="Unit-Regular" w:hAnsi="Unit-Regular"/>
                <w:b/>
                <w:sz w:val="20"/>
              </w:rPr>
            </w:pPr>
            <w:r w:rsidRPr="00381E09">
              <w:rPr>
                <w:rFonts w:ascii="Unit-Regular" w:hAnsi="Unit-Regular"/>
                <w:b/>
                <w:sz w:val="20"/>
              </w:rPr>
              <w:t>Gegenstand:</w:t>
            </w:r>
          </w:p>
          <w:p w:rsidR="00CB283D" w:rsidRDefault="00C32A21" w:rsidP="0046349C">
            <w:pPr>
              <w:ind w:left="-120" w:firstLine="22"/>
              <w:rPr>
                <w:rFonts w:ascii="Unit-Regular" w:hAnsi="Unit-Regular"/>
                <w:b/>
              </w:rPr>
            </w:pPr>
            <w:r>
              <w:rPr>
                <w:rFonts w:ascii="Unit-Regular" w:hAnsi="Unit-Regular"/>
                <w:b/>
              </w:rPr>
              <w:t>Änderung Betreibervertrag Freibad</w:t>
            </w:r>
          </w:p>
          <w:p w:rsidR="000F196E" w:rsidRDefault="000F196E" w:rsidP="0046349C">
            <w:pPr>
              <w:ind w:left="-120" w:firstLine="22"/>
              <w:rPr>
                <w:rFonts w:ascii="Unit-Regular" w:hAnsi="Unit-Regular"/>
                <w:b/>
              </w:rPr>
            </w:pPr>
          </w:p>
        </w:tc>
        <w:tc>
          <w:tcPr>
            <w:tcW w:w="278" w:type="dxa"/>
            <w:vAlign w:val="center"/>
          </w:tcPr>
          <w:p w:rsidR="00381E09" w:rsidRDefault="00381E09" w:rsidP="004A5171">
            <w:pPr>
              <w:jc w:val="right"/>
              <w:rPr>
                <w:rFonts w:ascii="Unit-Regular" w:hAnsi="Unit-Regular"/>
                <w:b/>
              </w:rPr>
            </w:pPr>
          </w:p>
        </w:tc>
      </w:tr>
    </w:tbl>
    <w:p w:rsidR="00072757" w:rsidRPr="004A5171" w:rsidRDefault="00072757" w:rsidP="00072757">
      <w:pPr>
        <w:jc w:val="both"/>
        <w:rPr>
          <w:rFonts w:ascii="Unit-Regular" w:hAnsi="Unit-Regular"/>
        </w:rPr>
      </w:pPr>
    </w:p>
    <w:tbl>
      <w:tblPr>
        <w:tblStyle w:val="Tabellenraster"/>
        <w:tblW w:w="0" w:type="auto"/>
        <w:tblLook w:val="04A0" w:firstRow="1" w:lastRow="0" w:firstColumn="1" w:lastColumn="0" w:noHBand="0" w:noVBand="1"/>
      </w:tblPr>
      <w:tblGrid>
        <w:gridCol w:w="1759"/>
        <w:gridCol w:w="1785"/>
        <w:gridCol w:w="2058"/>
        <w:gridCol w:w="1625"/>
        <w:gridCol w:w="1835"/>
      </w:tblGrid>
      <w:tr w:rsidR="00381E09" w:rsidRPr="00381E09" w:rsidTr="00381E09">
        <w:trPr>
          <w:trHeight w:val="454"/>
        </w:trPr>
        <w:tc>
          <w:tcPr>
            <w:tcW w:w="1759" w:type="dxa"/>
            <w:vAlign w:val="center"/>
          </w:tcPr>
          <w:p w:rsidR="00381E09" w:rsidRPr="00381E09" w:rsidRDefault="00381E09" w:rsidP="00381E09">
            <w:pPr>
              <w:ind w:left="-120" w:firstLine="0"/>
              <w:jc w:val="center"/>
              <w:rPr>
                <w:rFonts w:ascii="Unit-Regular" w:hAnsi="Unit-Regular"/>
                <w:b/>
                <w:sz w:val="22"/>
              </w:rPr>
            </w:pPr>
            <w:r w:rsidRPr="00381E09">
              <w:rPr>
                <w:rFonts w:ascii="Unit-Regular" w:hAnsi="Unit-Regular"/>
                <w:b/>
                <w:sz w:val="22"/>
              </w:rPr>
              <w:t>Beratungsfolge</w:t>
            </w:r>
          </w:p>
        </w:tc>
        <w:tc>
          <w:tcPr>
            <w:tcW w:w="1785" w:type="dxa"/>
            <w:vAlign w:val="center"/>
          </w:tcPr>
          <w:p w:rsidR="00381E09" w:rsidRPr="00381E09" w:rsidRDefault="00381E09" w:rsidP="00381E09">
            <w:pPr>
              <w:ind w:left="-76" w:firstLine="0"/>
              <w:jc w:val="center"/>
              <w:rPr>
                <w:rFonts w:ascii="Unit-Regular" w:hAnsi="Unit-Regular"/>
                <w:b/>
                <w:sz w:val="22"/>
              </w:rPr>
            </w:pPr>
            <w:r w:rsidRPr="00381E09">
              <w:rPr>
                <w:rFonts w:ascii="Unit-Regular" w:hAnsi="Unit-Regular"/>
                <w:b/>
                <w:sz w:val="22"/>
              </w:rPr>
              <w:t>Sitzungstermine</w:t>
            </w:r>
          </w:p>
        </w:tc>
        <w:tc>
          <w:tcPr>
            <w:tcW w:w="2058" w:type="dxa"/>
            <w:vAlign w:val="center"/>
          </w:tcPr>
          <w:p w:rsidR="00381E09" w:rsidRPr="00381E09" w:rsidRDefault="00381E09" w:rsidP="00381E09">
            <w:pPr>
              <w:ind w:left="-48" w:firstLine="0"/>
              <w:jc w:val="center"/>
              <w:rPr>
                <w:rFonts w:ascii="Unit-Regular" w:hAnsi="Unit-Regular"/>
                <w:b/>
                <w:sz w:val="22"/>
              </w:rPr>
            </w:pPr>
            <w:proofErr w:type="spellStart"/>
            <w:r w:rsidRPr="00381E09">
              <w:rPr>
                <w:rFonts w:ascii="Unit-Regular" w:hAnsi="Unit-Regular"/>
                <w:b/>
                <w:sz w:val="22"/>
              </w:rPr>
              <w:t>öffentl</w:t>
            </w:r>
            <w:proofErr w:type="spellEnd"/>
            <w:r w:rsidRPr="00381E09">
              <w:rPr>
                <w:rFonts w:ascii="Unit-Regular" w:hAnsi="Unit-Regular"/>
                <w:b/>
                <w:sz w:val="22"/>
              </w:rPr>
              <w:t>./</w:t>
            </w:r>
            <w:proofErr w:type="spellStart"/>
            <w:r w:rsidRPr="00381E09">
              <w:rPr>
                <w:rFonts w:ascii="Unit-Regular" w:hAnsi="Unit-Regular"/>
                <w:b/>
                <w:sz w:val="22"/>
              </w:rPr>
              <w:t>nichtöffentl</w:t>
            </w:r>
            <w:proofErr w:type="spellEnd"/>
            <w:r w:rsidRPr="00381E09">
              <w:rPr>
                <w:rFonts w:ascii="Unit-Regular" w:hAnsi="Unit-Regular"/>
                <w:b/>
                <w:sz w:val="22"/>
              </w:rPr>
              <w:t>.</w:t>
            </w:r>
          </w:p>
        </w:tc>
        <w:tc>
          <w:tcPr>
            <w:tcW w:w="1625" w:type="dxa"/>
            <w:vAlign w:val="center"/>
          </w:tcPr>
          <w:p w:rsidR="00381E09" w:rsidRPr="00381E09" w:rsidRDefault="00381E09" w:rsidP="00381E09">
            <w:pPr>
              <w:ind w:left="-20" w:firstLine="0"/>
              <w:jc w:val="center"/>
              <w:rPr>
                <w:rFonts w:ascii="Unit-Regular" w:hAnsi="Unit-Regular"/>
                <w:b/>
                <w:sz w:val="22"/>
              </w:rPr>
            </w:pPr>
            <w:r w:rsidRPr="00381E09">
              <w:rPr>
                <w:rFonts w:ascii="Unit-Regular" w:hAnsi="Unit-Regular"/>
                <w:b/>
                <w:sz w:val="22"/>
              </w:rPr>
              <w:t>Empfehlung</w:t>
            </w:r>
          </w:p>
        </w:tc>
        <w:tc>
          <w:tcPr>
            <w:tcW w:w="1835" w:type="dxa"/>
            <w:vAlign w:val="center"/>
          </w:tcPr>
          <w:p w:rsidR="00381E09" w:rsidRPr="00381E09" w:rsidRDefault="00381E09" w:rsidP="00381E09">
            <w:pPr>
              <w:ind w:left="0" w:firstLine="0"/>
              <w:jc w:val="center"/>
              <w:rPr>
                <w:rFonts w:ascii="Unit-Regular" w:hAnsi="Unit-Regular"/>
                <w:b/>
                <w:sz w:val="22"/>
              </w:rPr>
            </w:pPr>
            <w:r w:rsidRPr="00381E09">
              <w:rPr>
                <w:rFonts w:ascii="Unit-Regular" w:hAnsi="Unit-Regular"/>
                <w:b/>
                <w:sz w:val="22"/>
              </w:rPr>
              <w:t>ohne Empfehlung</w:t>
            </w: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Technischer Ausschuss</w:t>
            </w:r>
          </w:p>
        </w:tc>
        <w:tc>
          <w:tcPr>
            <w:tcW w:w="1785" w:type="dxa"/>
            <w:vAlign w:val="center"/>
          </w:tcPr>
          <w:p w:rsidR="00381E09" w:rsidRDefault="00381E09" w:rsidP="00A5015B">
            <w:pPr>
              <w:ind w:left="-76" w:firstLine="0"/>
              <w:jc w:val="center"/>
              <w:rPr>
                <w:rFonts w:ascii="Unit-Regular" w:hAnsi="Unit-Regular"/>
                <w:sz w:val="22"/>
              </w:rPr>
            </w:pPr>
          </w:p>
        </w:tc>
        <w:tc>
          <w:tcPr>
            <w:tcW w:w="2058" w:type="dxa"/>
            <w:vAlign w:val="center"/>
          </w:tcPr>
          <w:p w:rsidR="00381E09" w:rsidRDefault="00381E09" w:rsidP="00381E09">
            <w:pPr>
              <w:ind w:left="-48" w:firstLine="0"/>
              <w:jc w:val="center"/>
              <w:rPr>
                <w:rFonts w:ascii="Unit-Regular" w:hAnsi="Unit-Regular"/>
                <w:sz w:val="22"/>
              </w:rPr>
            </w:pPr>
          </w:p>
        </w:tc>
        <w:tc>
          <w:tcPr>
            <w:tcW w:w="1625" w:type="dxa"/>
            <w:vAlign w:val="center"/>
          </w:tcPr>
          <w:p w:rsidR="00381E09" w:rsidRDefault="00381E09" w:rsidP="00381E09">
            <w:pPr>
              <w:ind w:left="-20" w:firstLine="0"/>
              <w:jc w:val="center"/>
              <w:rPr>
                <w:rFonts w:ascii="Unit-Regular" w:hAnsi="Unit-Regular"/>
                <w:sz w:val="22"/>
              </w:rPr>
            </w:pPr>
          </w:p>
        </w:tc>
        <w:tc>
          <w:tcPr>
            <w:tcW w:w="1835" w:type="dxa"/>
            <w:vAlign w:val="center"/>
          </w:tcPr>
          <w:p w:rsidR="00381E09" w:rsidRDefault="00381E09" w:rsidP="00381E09">
            <w:pPr>
              <w:ind w:left="0" w:firstLine="0"/>
              <w:jc w:val="center"/>
              <w:rPr>
                <w:rFonts w:ascii="Unit-Regular" w:hAnsi="Unit-Regular"/>
                <w:sz w:val="22"/>
              </w:rPr>
            </w:pP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Verwaltungs-ausschuss</w:t>
            </w:r>
          </w:p>
        </w:tc>
        <w:tc>
          <w:tcPr>
            <w:tcW w:w="1785" w:type="dxa"/>
            <w:vAlign w:val="center"/>
          </w:tcPr>
          <w:p w:rsidR="00381E09" w:rsidRDefault="00C32A21" w:rsidP="00381E09">
            <w:pPr>
              <w:ind w:left="-76" w:firstLine="0"/>
              <w:jc w:val="center"/>
              <w:rPr>
                <w:rFonts w:ascii="Unit-Regular" w:hAnsi="Unit-Regular"/>
                <w:sz w:val="22"/>
              </w:rPr>
            </w:pPr>
            <w:r>
              <w:rPr>
                <w:rFonts w:ascii="Unit-Regular" w:hAnsi="Unit-Regular"/>
                <w:sz w:val="22"/>
              </w:rPr>
              <w:t>06.02.2025</w:t>
            </w:r>
          </w:p>
        </w:tc>
        <w:tc>
          <w:tcPr>
            <w:tcW w:w="2058" w:type="dxa"/>
            <w:vAlign w:val="center"/>
          </w:tcPr>
          <w:p w:rsidR="00381E09" w:rsidRDefault="00C32A21" w:rsidP="00381E09">
            <w:pPr>
              <w:ind w:left="-48" w:firstLine="0"/>
              <w:jc w:val="center"/>
              <w:rPr>
                <w:rFonts w:ascii="Unit-Regular" w:hAnsi="Unit-Regular"/>
                <w:sz w:val="22"/>
              </w:rPr>
            </w:pPr>
            <w:proofErr w:type="spellStart"/>
            <w:r>
              <w:rPr>
                <w:rFonts w:ascii="Unit-Regular" w:hAnsi="Unit-Regular"/>
                <w:sz w:val="22"/>
              </w:rPr>
              <w:t>Nichtöff</w:t>
            </w:r>
            <w:proofErr w:type="spellEnd"/>
            <w:r>
              <w:rPr>
                <w:rFonts w:ascii="Unit-Regular" w:hAnsi="Unit-Regular"/>
                <w:sz w:val="22"/>
              </w:rPr>
              <w:t>.</w:t>
            </w:r>
          </w:p>
        </w:tc>
        <w:tc>
          <w:tcPr>
            <w:tcW w:w="1625" w:type="dxa"/>
            <w:vAlign w:val="center"/>
          </w:tcPr>
          <w:p w:rsidR="00381E09" w:rsidRDefault="00C32A21" w:rsidP="00381E09">
            <w:pPr>
              <w:ind w:left="-20" w:firstLine="0"/>
              <w:jc w:val="center"/>
              <w:rPr>
                <w:rFonts w:ascii="Unit-Regular" w:hAnsi="Unit-Regular"/>
                <w:sz w:val="22"/>
              </w:rPr>
            </w:pPr>
            <w:r>
              <w:rPr>
                <w:rFonts w:ascii="Unit-Regular" w:hAnsi="Unit-Regular"/>
                <w:sz w:val="22"/>
              </w:rPr>
              <w:t>ja</w:t>
            </w:r>
          </w:p>
        </w:tc>
        <w:tc>
          <w:tcPr>
            <w:tcW w:w="1835" w:type="dxa"/>
            <w:vAlign w:val="center"/>
          </w:tcPr>
          <w:p w:rsidR="00381E09" w:rsidRDefault="00381E09" w:rsidP="00381E09">
            <w:pPr>
              <w:ind w:left="0" w:firstLine="0"/>
              <w:jc w:val="center"/>
              <w:rPr>
                <w:rFonts w:ascii="Unit-Regular" w:hAnsi="Unit-Regular"/>
                <w:sz w:val="22"/>
              </w:rPr>
            </w:pPr>
          </w:p>
        </w:tc>
      </w:tr>
    </w:tbl>
    <w:p w:rsidR="00381E09" w:rsidRDefault="00381E09" w:rsidP="00072757">
      <w:pPr>
        <w:jc w:val="both"/>
        <w:rPr>
          <w:rFonts w:ascii="Unit-Regular" w:hAnsi="Unit-Regular"/>
          <w:sz w:val="22"/>
        </w:rPr>
      </w:pPr>
    </w:p>
    <w:p w:rsidR="00381E09" w:rsidRPr="00381E09" w:rsidRDefault="00381E09" w:rsidP="00072757">
      <w:pPr>
        <w:jc w:val="both"/>
        <w:rPr>
          <w:rFonts w:ascii="Unit-Regular" w:hAnsi="Unit-Regular"/>
          <w:b/>
          <w:sz w:val="22"/>
        </w:rPr>
      </w:pPr>
      <w:r w:rsidRPr="00381E09">
        <w:rPr>
          <w:rFonts w:ascii="Unit-Regular" w:hAnsi="Unit-Regular"/>
          <w:b/>
          <w:sz w:val="22"/>
        </w:rPr>
        <w:t>Beschlussvorschlag:</w:t>
      </w:r>
    </w:p>
    <w:p w:rsidR="00381E09" w:rsidRPr="00AF33B5" w:rsidRDefault="00381E09" w:rsidP="00072757">
      <w:pPr>
        <w:jc w:val="both"/>
        <w:rPr>
          <w:rFonts w:ascii="Unit-Regular" w:hAnsi="Unit-Regular"/>
          <w:sz w:val="22"/>
          <w:szCs w:val="22"/>
        </w:rPr>
      </w:pPr>
    </w:p>
    <w:p w:rsidR="0082792C" w:rsidRDefault="0082792C" w:rsidP="0082792C">
      <w:pPr>
        <w:jc w:val="both"/>
        <w:rPr>
          <w:rFonts w:ascii="Unit-Regular" w:hAnsi="Unit-Regular"/>
          <w:sz w:val="22"/>
          <w:szCs w:val="22"/>
        </w:rPr>
      </w:pPr>
      <w:r>
        <w:rPr>
          <w:rFonts w:ascii="Unit-Regular" w:hAnsi="Unit-Regular"/>
          <w:sz w:val="22"/>
          <w:szCs w:val="22"/>
        </w:rPr>
        <w:t>Die Stadträte der Stadt Regis-Breitingen wollen folgenden Beschluss fassen:</w:t>
      </w:r>
    </w:p>
    <w:p w:rsidR="00C32A21" w:rsidRDefault="00C32A21" w:rsidP="0082792C">
      <w:pPr>
        <w:jc w:val="both"/>
        <w:rPr>
          <w:rFonts w:ascii="Unit-Regular" w:hAnsi="Unit-Regular"/>
          <w:sz w:val="22"/>
          <w:szCs w:val="22"/>
        </w:rPr>
      </w:pPr>
    </w:p>
    <w:p w:rsidR="00C32A21" w:rsidRDefault="00C32A21" w:rsidP="0082792C">
      <w:pPr>
        <w:jc w:val="both"/>
        <w:rPr>
          <w:rFonts w:ascii="Unit-Regular" w:hAnsi="Unit-Regular"/>
          <w:sz w:val="22"/>
          <w:szCs w:val="22"/>
        </w:rPr>
      </w:pPr>
      <w:r>
        <w:rPr>
          <w:rFonts w:ascii="Unit-Regular" w:hAnsi="Unit-Regular"/>
          <w:sz w:val="22"/>
          <w:szCs w:val="22"/>
        </w:rPr>
        <w:t>Der Betreibervertrag für das Freibad Regis-Breitingen wird im § 2 folgendermaßen geändert:</w:t>
      </w:r>
    </w:p>
    <w:p w:rsidR="00C32A21" w:rsidRDefault="00C32A21" w:rsidP="0082792C">
      <w:pPr>
        <w:jc w:val="both"/>
        <w:rPr>
          <w:rFonts w:ascii="Unit-Regular" w:hAnsi="Unit-Regular"/>
          <w:sz w:val="22"/>
          <w:szCs w:val="22"/>
        </w:rPr>
      </w:pPr>
    </w:p>
    <w:p w:rsidR="00C32A21" w:rsidRDefault="00C32A21" w:rsidP="0082792C">
      <w:pPr>
        <w:jc w:val="both"/>
        <w:rPr>
          <w:rFonts w:ascii="Unit-Regular" w:hAnsi="Unit-Regular"/>
          <w:sz w:val="22"/>
          <w:szCs w:val="22"/>
        </w:rPr>
      </w:pPr>
      <w:r>
        <w:rPr>
          <w:rFonts w:ascii="Unit-Regular" w:hAnsi="Unit-Regular"/>
          <w:sz w:val="22"/>
          <w:szCs w:val="22"/>
        </w:rPr>
        <w:t xml:space="preserve">(1) Der Betriebsführer beschafft alle zum ordnungsgemäßen Betrieb notwendigen Roh- und Hilfsstoffe auf seine Rechnung. Er übernimmt auch die mit dem Betrieb verbundenen </w:t>
      </w:r>
      <w:proofErr w:type="spellStart"/>
      <w:r>
        <w:rPr>
          <w:rFonts w:ascii="Unit-Regular" w:hAnsi="Unit-Regular"/>
          <w:sz w:val="22"/>
          <w:szCs w:val="22"/>
        </w:rPr>
        <w:t>Ver</w:t>
      </w:r>
      <w:proofErr w:type="spellEnd"/>
      <w:r>
        <w:rPr>
          <w:rFonts w:ascii="Unit-Regular" w:hAnsi="Unit-Regular"/>
          <w:sz w:val="22"/>
          <w:szCs w:val="22"/>
        </w:rPr>
        <w:t>- und Entsorgungskosten, wie (Betriebsmittel, Wasseruntersuchungen, Müll, Grasschnitt, Laub usw.), außer Wasser, Abwasser und Strom.</w:t>
      </w:r>
    </w:p>
    <w:p w:rsidR="00AD534F" w:rsidRDefault="00AD534F" w:rsidP="0082792C">
      <w:pPr>
        <w:jc w:val="both"/>
        <w:rPr>
          <w:rFonts w:ascii="Unit-Regular" w:hAnsi="Unit-Regular"/>
          <w:sz w:val="22"/>
          <w:szCs w:val="22"/>
        </w:rPr>
      </w:pPr>
      <w:bookmarkStart w:id="0" w:name="_GoBack"/>
      <w:bookmarkEnd w:id="0"/>
    </w:p>
    <w:p w:rsidR="00C32A21" w:rsidRDefault="00C32A21" w:rsidP="0082792C">
      <w:pPr>
        <w:jc w:val="both"/>
        <w:rPr>
          <w:rFonts w:ascii="Unit-Regular" w:hAnsi="Unit-Regular"/>
          <w:sz w:val="22"/>
          <w:szCs w:val="22"/>
        </w:rPr>
      </w:pPr>
      <w:r>
        <w:rPr>
          <w:rFonts w:ascii="Unit-Regular" w:hAnsi="Unit-Regular"/>
          <w:sz w:val="22"/>
          <w:szCs w:val="22"/>
        </w:rPr>
        <w:t>(4) Den Betrieb des Bades darf nur der Betriebsführer selbst oder ein ihm gehörendes Unternehmen bzw. ein Unternehmen, an dem er zu mehr als 50% beteiligt ist, erledigen. Eine Betriebsführung durch fremde Dritte ist nur mit schriftlicher Zustimmung der Stadt möglich. Ausnahmen sind die Rechtsnachfolge des Betriebes durch Übergang an einen Dritten aus Altersgründen oder gesundheitlichen Gründen des Betriebsführers oder durch Erbfolge bei Ableben des Betriebsführers.</w:t>
      </w:r>
    </w:p>
    <w:p w:rsidR="0082792C" w:rsidRDefault="0082792C" w:rsidP="0082792C">
      <w:pPr>
        <w:jc w:val="both"/>
        <w:rPr>
          <w:rFonts w:ascii="Unit-Regular" w:hAnsi="Unit-Regular"/>
          <w:sz w:val="22"/>
          <w:szCs w:val="22"/>
        </w:rPr>
      </w:pPr>
    </w:p>
    <w:p w:rsidR="00191C1D" w:rsidRDefault="00191C1D" w:rsidP="000C6E99">
      <w:pPr>
        <w:jc w:val="both"/>
        <w:rPr>
          <w:rFonts w:ascii="Unit-Regular" w:hAnsi="Unit-Regular"/>
          <w:sz w:val="22"/>
          <w:szCs w:val="18"/>
        </w:rPr>
      </w:pPr>
    </w:p>
    <w:p w:rsidR="0082792C" w:rsidRPr="0082792C" w:rsidRDefault="0082792C" w:rsidP="0082792C">
      <w:pPr>
        <w:jc w:val="both"/>
        <w:rPr>
          <w:rFonts w:ascii="Unit-Regular" w:hAnsi="Unit-Regular"/>
          <w:sz w:val="22"/>
          <w:szCs w:val="18"/>
        </w:rPr>
      </w:pPr>
      <w:r w:rsidRPr="00117694">
        <w:rPr>
          <w:rFonts w:ascii="Unit-Regular" w:hAnsi="Unit-Regular"/>
          <w:sz w:val="22"/>
          <w:szCs w:val="18"/>
        </w:rPr>
        <w:t xml:space="preserve">Von der Beratung und Beschlussfassung war kein Mitglied des </w:t>
      </w:r>
      <w:r>
        <w:rPr>
          <w:rFonts w:ascii="Unit-Regular" w:hAnsi="Unit-Regular"/>
          <w:sz w:val="22"/>
          <w:szCs w:val="18"/>
        </w:rPr>
        <w:t>Stadtrates</w:t>
      </w:r>
      <w:r w:rsidRPr="00117694">
        <w:rPr>
          <w:rFonts w:ascii="Unit-Regular" w:hAnsi="Unit-Regular"/>
          <w:sz w:val="22"/>
          <w:szCs w:val="18"/>
        </w:rPr>
        <w:t xml:space="preserve"> ausgeschlossen.</w:t>
      </w:r>
    </w:p>
    <w:p w:rsidR="00532445" w:rsidRPr="004A5171" w:rsidRDefault="00532445" w:rsidP="006B7368">
      <w:pPr>
        <w:rPr>
          <w:rFonts w:ascii="Unit-Regular" w:hAnsi="Unit-Regular"/>
          <w:sz w:val="18"/>
          <w:szCs w:val="18"/>
        </w:rPr>
      </w:pPr>
    </w:p>
    <w:p w:rsidR="00A97819" w:rsidRPr="007B3212" w:rsidRDefault="00A97819" w:rsidP="00A97819">
      <w:pPr>
        <w:pStyle w:val="Textkrper"/>
        <w:rPr>
          <w:rFonts w:ascii="Unit-Regular" w:hAnsi="Unit-Regular"/>
          <w:b/>
        </w:rPr>
      </w:pPr>
      <w:r w:rsidRPr="007B3212">
        <w:rPr>
          <w:rFonts w:ascii="Unit-Regular" w:hAnsi="Unit-Regular"/>
          <w:b/>
        </w:rPr>
        <w:t>Abstimmungsergebnis:</w:t>
      </w:r>
    </w:p>
    <w:tbl>
      <w:tblPr>
        <w:tblStyle w:val="Tabellenraster"/>
        <w:tblW w:w="9067" w:type="dxa"/>
        <w:tblLook w:val="04A0" w:firstRow="1" w:lastRow="0" w:firstColumn="1" w:lastColumn="0" w:noHBand="0" w:noVBand="1"/>
      </w:tblPr>
      <w:tblGrid>
        <w:gridCol w:w="3871"/>
        <w:gridCol w:w="660"/>
        <w:gridCol w:w="3828"/>
        <w:gridCol w:w="708"/>
      </w:tblGrid>
      <w:tr w:rsidR="00A97819" w:rsidRPr="007B3212" w:rsidTr="00117694">
        <w:trPr>
          <w:trHeight w:val="454"/>
        </w:trPr>
        <w:tc>
          <w:tcPr>
            <w:tcW w:w="3871"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7B3212">
            <w:pPr>
              <w:ind w:left="0" w:firstLine="0"/>
              <w:rPr>
                <w:rFonts w:ascii="Unit-Regular" w:hAnsi="Unit-Regular"/>
                <w:b/>
                <w:sz w:val="22"/>
                <w:szCs w:val="24"/>
                <w:lang w:eastAsia="en-US"/>
              </w:rPr>
            </w:pPr>
            <w:r>
              <w:rPr>
                <w:rFonts w:ascii="Unit-Regular" w:hAnsi="Unit-Regular"/>
                <w:sz w:val="22"/>
                <w:szCs w:val="24"/>
                <w:lang w:eastAsia="en-US"/>
              </w:rPr>
              <w:t>Mitglieder Stadtrat</w:t>
            </w:r>
          </w:p>
        </w:tc>
        <w:tc>
          <w:tcPr>
            <w:tcW w:w="660"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1D7BF8">
            <w:pPr>
              <w:ind w:left="0" w:firstLine="0"/>
              <w:jc w:val="center"/>
              <w:rPr>
                <w:rFonts w:ascii="Unit-Regular" w:hAnsi="Unit-Regular"/>
                <w:sz w:val="22"/>
                <w:szCs w:val="24"/>
                <w:lang w:eastAsia="en-US"/>
              </w:rPr>
            </w:pPr>
            <w:r>
              <w:rPr>
                <w:rFonts w:ascii="Unit-Regular" w:hAnsi="Unit-Regular"/>
                <w:sz w:val="22"/>
                <w:szCs w:val="24"/>
                <w:lang w:eastAsia="en-US"/>
              </w:rPr>
              <w:t>1</w:t>
            </w:r>
            <w:r w:rsidR="001D7BF8">
              <w:rPr>
                <w:rFonts w:ascii="Unit-Regular" w:hAnsi="Unit-Regular"/>
                <w:sz w:val="22"/>
                <w:szCs w:val="24"/>
                <w:lang w:eastAsia="en-US"/>
              </w:rPr>
              <w:t>5</w:t>
            </w:r>
          </w:p>
        </w:tc>
        <w:tc>
          <w:tcPr>
            <w:tcW w:w="3828"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davon anwesend</w:t>
            </w:r>
          </w:p>
        </w:tc>
        <w:tc>
          <w:tcPr>
            <w:tcW w:w="708" w:type="dxa"/>
            <w:tcBorders>
              <w:top w:val="single" w:sz="4" w:space="0" w:color="auto"/>
              <w:left w:val="single" w:sz="4" w:space="0" w:color="auto"/>
              <w:bottom w:val="thinThickSmallGap" w:sz="18"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thinThickSmallGap" w:sz="18" w:space="0" w:color="auto"/>
              <w:left w:val="single" w:sz="4" w:space="0" w:color="auto"/>
              <w:bottom w:val="single" w:sz="4" w:space="0" w:color="auto"/>
              <w:right w:val="single" w:sz="4" w:space="0" w:color="auto"/>
            </w:tcBorders>
            <w:vAlign w:val="center"/>
            <w:hideMark/>
          </w:tcPr>
          <w:p w:rsidR="00A97819" w:rsidRPr="007B3212" w:rsidRDefault="007E17BC" w:rsidP="007B3212">
            <w:pPr>
              <w:ind w:left="0" w:firstLine="22"/>
              <w:rPr>
                <w:rFonts w:ascii="Unit-Regular" w:hAnsi="Unit-Regular"/>
                <w:sz w:val="22"/>
                <w:szCs w:val="24"/>
                <w:lang w:eastAsia="en-US"/>
              </w:rPr>
            </w:pPr>
            <w:r>
              <w:rPr>
                <w:rFonts w:ascii="Unit-Regular" w:hAnsi="Unit-Regular"/>
                <w:sz w:val="22"/>
                <w:szCs w:val="24"/>
                <w:lang w:eastAsia="en-US"/>
              </w:rPr>
              <w:t>Ja-</w:t>
            </w:r>
            <w:r w:rsidR="00A97819" w:rsidRPr="007B3212">
              <w:rPr>
                <w:rFonts w:ascii="Unit-Regular" w:hAnsi="Unit-Regular"/>
                <w:sz w:val="22"/>
                <w:szCs w:val="24"/>
                <w:lang w:eastAsia="en-US"/>
              </w:rPr>
              <w:t>Stimmen</w:t>
            </w:r>
          </w:p>
        </w:tc>
        <w:tc>
          <w:tcPr>
            <w:tcW w:w="660" w:type="dxa"/>
            <w:tcBorders>
              <w:top w:val="thinThickSmallGap" w:sz="18" w:space="0" w:color="auto"/>
              <w:left w:val="single" w:sz="4" w:space="0" w:color="auto"/>
              <w:bottom w:val="sing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thinThickSmallGap" w:sz="18" w:space="0" w:color="auto"/>
              <w:left w:val="single" w:sz="8"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Nein-Stimmen</w:t>
            </w:r>
          </w:p>
        </w:tc>
        <w:tc>
          <w:tcPr>
            <w:tcW w:w="708" w:type="dxa"/>
            <w:tcBorders>
              <w:top w:val="thinThickSmallGap" w:sz="18" w:space="0" w:color="auto"/>
              <w:left w:val="single" w:sz="4" w:space="0" w:color="auto"/>
              <w:bottom w:val="single" w:sz="4"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single" w:sz="4" w:space="0" w:color="auto"/>
              <w:left w:val="single" w:sz="4" w:space="0" w:color="auto"/>
              <w:bottom w:val="double" w:sz="4" w:space="0" w:color="auto"/>
              <w:right w:val="single" w:sz="4" w:space="0" w:color="auto"/>
            </w:tcBorders>
            <w:vAlign w:val="center"/>
            <w:hideMark/>
          </w:tcPr>
          <w:p w:rsidR="00A97819" w:rsidRPr="007B3212" w:rsidRDefault="00A97819" w:rsidP="007B3212">
            <w:pPr>
              <w:ind w:left="0" w:firstLine="22"/>
              <w:rPr>
                <w:rFonts w:ascii="Unit-Regular" w:hAnsi="Unit-Regular"/>
                <w:sz w:val="22"/>
                <w:szCs w:val="24"/>
                <w:lang w:eastAsia="en-US"/>
              </w:rPr>
            </w:pPr>
            <w:r w:rsidRPr="007B3212">
              <w:rPr>
                <w:rFonts w:ascii="Unit-Regular" w:hAnsi="Unit-Regular"/>
                <w:sz w:val="22"/>
                <w:szCs w:val="24"/>
                <w:lang w:eastAsia="en-US"/>
              </w:rPr>
              <w:t>Stimmenthaltungen</w:t>
            </w:r>
          </w:p>
        </w:tc>
        <w:tc>
          <w:tcPr>
            <w:tcW w:w="660" w:type="dxa"/>
            <w:tcBorders>
              <w:top w:val="single" w:sz="4" w:space="0" w:color="auto"/>
              <w:left w:val="single" w:sz="4" w:space="0" w:color="auto"/>
              <w:bottom w:val="doub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single" w:sz="4" w:space="0" w:color="auto"/>
              <w:left w:val="single" w:sz="8" w:space="0" w:color="auto"/>
              <w:bottom w:val="double" w:sz="4" w:space="0" w:color="auto"/>
              <w:right w:val="single" w:sz="4" w:space="0" w:color="auto"/>
            </w:tcBorders>
            <w:vAlign w:val="center"/>
          </w:tcPr>
          <w:p w:rsidR="00A97819" w:rsidRPr="007B3212" w:rsidRDefault="00A97819" w:rsidP="007B3212">
            <w:pPr>
              <w:ind w:left="0" w:firstLine="0"/>
              <w:rPr>
                <w:rFonts w:ascii="Unit-Regular" w:hAnsi="Unit-Regular"/>
                <w:sz w:val="22"/>
                <w:szCs w:val="24"/>
                <w:lang w:eastAsia="en-US"/>
              </w:rPr>
            </w:pPr>
          </w:p>
        </w:tc>
        <w:tc>
          <w:tcPr>
            <w:tcW w:w="708" w:type="dxa"/>
            <w:tcBorders>
              <w:top w:val="single" w:sz="4" w:space="0" w:color="auto"/>
              <w:left w:val="single" w:sz="4" w:space="0" w:color="auto"/>
              <w:bottom w:val="double" w:sz="4" w:space="0" w:color="auto"/>
              <w:right w:val="single" w:sz="4" w:space="0" w:color="auto"/>
            </w:tcBorders>
            <w:vAlign w:val="center"/>
          </w:tcPr>
          <w:p w:rsidR="00A97819" w:rsidRPr="007B3212" w:rsidRDefault="00A97819" w:rsidP="00117694">
            <w:pPr>
              <w:jc w:val="center"/>
              <w:rPr>
                <w:rFonts w:ascii="Unit-Regular" w:hAnsi="Unit-Regular"/>
                <w:sz w:val="22"/>
                <w:szCs w:val="24"/>
                <w:lang w:eastAsia="en-US"/>
              </w:rPr>
            </w:pPr>
          </w:p>
        </w:tc>
      </w:tr>
      <w:tr w:rsidR="00A97819" w:rsidRPr="007B3212" w:rsidTr="00117694">
        <w:trPr>
          <w:trHeight w:val="454"/>
        </w:trPr>
        <w:tc>
          <w:tcPr>
            <w:tcW w:w="3871"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22"/>
              <w:rPr>
                <w:rFonts w:ascii="Unit-Regular" w:hAnsi="Unit-Regular"/>
                <w:b/>
                <w:sz w:val="22"/>
                <w:szCs w:val="24"/>
                <w:lang w:eastAsia="en-US"/>
              </w:rPr>
            </w:pPr>
            <w:r w:rsidRPr="007B3212">
              <w:rPr>
                <w:rFonts w:ascii="Unit-Regular" w:hAnsi="Unit-Regular"/>
                <w:b/>
                <w:sz w:val="22"/>
                <w:szCs w:val="24"/>
                <w:lang w:eastAsia="en-US"/>
              </w:rPr>
              <w:t>beschlossen</w:t>
            </w:r>
          </w:p>
        </w:tc>
        <w:tc>
          <w:tcPr>
            <w:tcW w:w="660"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7B3212">
            <w:pPr>
              <w:ind w:left="0" w:firstLine="0"/>
              <w:jc w:val="center"/>
              <w:rPr>
                <w:rFonts w:ascii="Unit-Regular" w:hAnsi="Unit-Regular"/>
                <w:b/>
                <w:sz w:val="22"/>
                <w:szCs w:val="24"/>
                <w:lang w:eastAsia="en-US"/>
              </w:rPr>
            </w:pPr>
          </w:p>
        </w:tc>
        <w:tc>
          <w:tcPr>
            <w:tcW w:w="3828"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b/>
                <w:sz w:val="22"/>
                <w:szCs w:val="24"/>
                <w:lang w:eastAsia="en-US"/>
              </w:rPr>
            </w:pPr>
            <w:r w:rsidRPr="007B3212">
              <w:rPr>
                <w:rFonts w:ascii="Unit-Regular" w:hAnsi="Unit-Regular"/>
                <w:b/>
                <w:sz w:val="22"/>
                <w:szCs w:val="24"/>
                <w:lang w:eastAsia="en-US"/>
              </w:rPr>
              <w:t>nicht beschlossen</w:t>
            </w:r>
          </w:p>
        </w:tc>
        <w:tc>
          <w:tcPr>
            <w:tcW w:w="708"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117694">
            <w:pPr>
              <w:jc w:val="center"/>
              <w:rPr>
                <w:rFonts w:ascii="Unit-Regular" w:hAnsi="Unit-Regular"/>
                <w:b/>
                <w:sz w:val="22"/>
                <w:szCs w:val="24"/>
                <w:lang w:eastAsia="en-US"/>
              </w:rPr>
            </w:pPr>
          </w:p>
        </w:tc>
      </w:tr>
    </w:tbl>
    <w:p w:rsidR="00117694" w:rsidRPr="00DB3E0E" w:rsidRDefault="00117694" w:rsidP="00DB3E0E">
      <w:pPr>
        <w:widowControl w:val="0"/>
        <w:rPr>
          <w:rFonts w:ascii="Arial" w:hAnsi="Arial" w:cs="Arial"/>
          <w:snapToGrid w:val="0"/>
        </w:rPr>
      </w:pPr>
    </w:p>
    <w:sectPr w:rsidR="00117694" w:rsidRPr="00DB3E0E" w:rsidSect="008B7D1C">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t-Regular">
    <w:panose1 w:val="020005060400000200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2B59"/>
    <w:multiLevelType w:val="hybridMultilevel"/>
    <w:tmpl w:val="047A2026"/>
    <w:lvl w:ilvl="0" w:tplc="FE66286C">
      <w:numFmt w:val="bullet"/>
      <w:lvlText w:val="-"/>
      <w:lvlJc w:val="left"/>
      <w:pPr>
        <w:ind w:left="1769" w:hanging="360"/>
      </w:pPr>
      <w:rPr>
        <w:rFonts w:ascii="Calibri" w:eastAsia="Calibri" w:hAnsi="Calibri" w:cs="Times New Roman" w:hint="default"/>
      </w:rPr>
    </w:lvl>
    <w:lvl w:ilvl="1" w:tplc="04070003" w:tentative="1">
      <w:start w:val="1"/>
      <w:numFmt w:val="bullet"/>
      <w:lvlText w:val="o"/>
      <w:lvlJc w:val="left"/>
      <w:pPr>
        <w:ind w:left="2489" w:hanging="360"/>
      </w:pPr>
      <w:rPr>
        <w:rFonts w:ascii="Courier New" w:hAnsi="Courier New" w:cs="Courier New" w:hint="default"/>
      </w:rPr>
    </w:lvl>
    <w:lvl w:ilvl="2" w:tplc="04070005" w:tentative="1">
      <w:start w:val="1"/>
      <w:numFmt w:val="bullet"/>
      <w:lvlText w:val=""/>
      <w:lvlJc w:val="left"/>
      <w:pPr>
        <w:ind w:left="3209" w:hanging="360"/>
      </w:pPr>
      <w:rPr>
        <w:rFonts w:ascii="Wingdings" w:hAnsi="Wingdings" w:hint="default"/>
      </w:rPr>
    </w:lvl>
    <w:lvl w:ilvl="3" w:tplc="04070001" w:tentative="1">
      <w:start w:val="1"/>
      <w:numFmt w:val="bullet"/>
      <w:lvlText w:val=""/>
      <w:lvlJc w:val="left"/>
      <w:pPr>
        <w:ind w:left="3929" w:hanging="360"/>
      </w:pPr>
      <w:rPr>
        <w:rFonts w:ascii="Symbol" w:hAnsi="Symbol" w:hint="default"/>
      </w:rPr>
    </w:lvl>
    <w:lvl w:ilvl="4" w:tplc="04070003" w:tentative="1">
      <w:start w:val="1"/>
      <w:numFmt w:val="bullet"/>
      <w:lvlText w:val="o"/>
      <w:lvlJc w:val="left"/>
      <w:pPr>
        <w:ind w:left="4649" w:hanging="360"/>
      </w:pPr>
      <w:rPr>
        <w:rFonts w:ascii="Courier New" w:hAnsi="Courier New" w:cs="Courier New" w:hint="default"/>
      </w:rPr>
    </w:lvl>
    <w:lvl w:ilvl="5" w:tplc="04070005" w:tentative="1">
      <w:start w:val="1"/>
      <w:numFmt w:val="bullet"/>
      <w:lvlText w:val=""/>
      <w:lvlJc w:val="left"/>
      <w:pPr>
        <w:ind w:left="5369" w:hanging="360"/>
      </w:pPr>
      <w:rPr>
        <w:rFonts w:ascii="Wingdings" w:hAnsi="Wingdings" w:hint="default"/>
      </w:rPr>
    </w:lvl>
    <w:lvl w:ilvl="6" w:tplc="04070001" w:tentative="1">
      <w:start w:val="1"/>
      <w:numFmt w:val="bullet"/>
      <w:lvlText w:val=""/>
      <w:lvlJc w:val="left"/>
      <w:pPr>
        <w:ind w:left="6089" w:hanging="360"/>
      </w:pPr>
      <w:rPr>
        <w:rFonts w:ascii="Symbol" w:hAnsi="Symbol" w:hint="default"/>
      </w:rPr>
    </w:lvl>
    <w:lvl w:ilvl="7" w:tplc="04070003" w:tentative="1">
      <w:start w:val="1"/>
      <w:numFmt w:val="bullet"/>
      <w:lvlText w:val="o"/>
      <w:lvlJc w:val="left"/>
      <w:pPr>
        <w:ind w:left="6809" w:hanging="360"/>
      </w:pPr>
      <w:rPr>
        <w:rFonts w:ascii="Courier New" w:hAnsi="Courier New" w:cs="Courier New" w:hint="default"/>
      </w:rPr>
    </w:lvl>
    <w:lvl w:ilvl="8" w:tplc="04070005" w:tentative="1">
      <w:start w:val="1"/>
      <w:numFmt w:val="bullet"/>
      <w:lvlText w:val=""/>
      <w:lvlJc w:val="left"/>
      <w:pPr>
        <w:ind w:left="7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01"/>
    <w:rsid w:val="00072757"/>
    <w:rsid w:val="000862B3"/>
    <w:rsid w:val="000A7B27"/>
    <w:rsid w:val="000C6E99"/>
    <w:rsid w:val="000E596A"/>
    <w:rsid w:val="000F196E"/>
    <w:rsid w:val="00117694"/>
    <w:rsid w:val="00122957"/>
    <w:rsid w:val="00155292"/>
    <w:rsid w:val="00191C1D"/>
    <w:rsid w:val="001D7BF8"/>
    <w:rsid w:val="001F0633"/>
    <w:rsid w:val="002351F0"/>
    <w:rsid w:val="002825A7"/>
    <w:rsid w:val="002B3F50"/>
    <w:rsid w:val="00300971"/>
    <w:rsid w:val="00365055"/>
    <w:rsid w:val="003654A5"/>
    <w:rsid w:val="00374152"/>
    <w:rsid w:val="00381E09"/>
    <w:rsid w:val="003E0EFF"/>
    <w:rsid w:val="0044531B"/>
    <w:rsid w:val="0046349C"/>
    <w:rsid w:val="004A5171"/>
    <w:rsid w:val="004C09B6"/>
    <w:rsid w:val="004D7EF4"/>
    <w:rsid w:val="004E7B98"/>
    <w:rsid w:val="0051737D"/>
    <w:rsid w:val="00532445"/>
    <w:rsid w:val="0059740E"/>
    <w:rsid w:val="005C2F18"/>
    <w:rsid w:val="00637C5B"/>
    <w:rsid w:val="00677F45"/>
    <w:rsid w:val="006A2473"/>
    <w:rsid w:val="006B18BD"/>
    <w:rsid w:val="006B7368"/>
    <w:rsid w:val="006D1592"/>
    <w:rsid w:val="006E23B4"/>
    <w:rsid w:val="00720398"/>
    <w:rsid w:val="00727241"/>
    <w:rsid w:val="0073651D"/>
    <w:rsid w:val="00750499"/>
    <w:rsid w:val="0077415C"/>
    <w:rsid w:val="007B3212"/>
    <w:rsid w:val="007E17BC"/>
    <w:rsid w:val="007E483F"/>
    <w:rsid w:val="0082792C"/>
    <w:rsid w:val="008324E9"/>
    <w:rsid w:val="00836FE9"/>
    <w:rsid w:val="008908BC"/>
    <w:rsid w:val="008B7D1C"/>
    <w:rsid w:val="009451D3"/>
    <w:rsid w:val="009718A7"/>
    <w:rsid w:val="0098239A"/>
    <w:rsid w:val="009D005F"/>
    <w:rsid w:val="00A5015B"/>
    <w:rsid w:val="00A514EC"/>
    <w:rsid w:val="00A5704E"/>
    <w:rsid w:val="00A97819"/>
    <w:rsid w:val="00AA6C32"/>
    <w:rsid w:val="00AD534F"/>
    <w:rsid w:val="00AF33B5"/>
    <w:rsid w:val="00B674C9"/>
    <w:rsid w:val="00B933C0"/>
    <w:rsid w:val="00BA3E20"/>
    <w:rsid w:val="00BE58FE"/>
    <w:rsid w:val="00C32A21"/>
    <w:rsid w:val="00C53891"/>
    <w:rsid w:val="00CB283D"/>
    <w:rsid w:val="00CB762B"/>
    <w:rsid w:val="00D51B9D"/>
    <w:rsid w:val="00D63A8F"/>
    <w:rsid w:val="00D71DDE"/>
    <w:rsid w:val="00D77DBC"/>
    <w:rsid w:val="00DA3E27"/>
    <w:rsid w:val="00DB3E0E"/>
    <w:rsid w:val="00DD5101"/>
    <w:rsid w:val="00DE02E7"/>
    <w:rsid w:val="00DF2A18"/>
    <w:rsid w:val="00EB4B53"/>
    <w:rsid w:val="00EF3AB1"/>
    <w:rsid w:val="00F13248"/>
    <w:rsid w:val="00FE3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BF7D"/>
  <w15:chartTrackingRefBased/>
  <w15:docId w15:val="{1974C839-66BA-45D0-B4A0-A6749E1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101"/>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DD5101"/>
    <w:pPr>
      <w:keepNext/>
      <w:outlineLvl w:val="0"/>
    </w:pPr>
    <w:rPr>
      <w:b/>
    </w:rPr>
  </w:style>
  <w:style w:type="paragraph" w:styleId="berschrift7">
    <w:name w:val="heading 7"/>
    <w:basedOn w:val="Standard"/>
    <w:next w:val="Standard"/>
    <w:link w:val="berschrift7Zchn"/>
    <w:uiPriority w:val="9"/>
    <w:semiHidden/>
    <w:unhideWhenUsed/>
    <w:qFormat/>
    <w:rsid w:val="00DD5101"/>
    <w:pPr>
      <w:spacing w:before="240" w:after="60"/>
      <w:outlineLvl w:val="6"/>
    </w:pPr>
    <w:rPr>
      <w:rFonts w:ascii="Calibri" w:hAnsi="Calibr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101"/>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uiPriority w:val="9"/>
    <w:semiHidden/>
    <w:rsid w:val="00DD5101"/>
    <w:rPr>
      <w:rFonts w:ascii="Calibri" w:eastAsia="Times New Roman" w:hAnsi="Calibri" w:cs="Times New Roman"/>
      <w:sz w:val="24"/>
      <w:szCs w:val="24"/>
      <w:lang w:eastAsia="de-DE"/>
    </w:rPr>
  </w:style>
  <w:style w:type="paragraph" w:styleId="Textkrper">
    <w:name w:val="Body Text"/>
    <w:basedOn w:val="Standard"/>
    <w:link w:val="TextkrperZchn"/>
    <w:uiPriority w:val="99"/>
    <w:semiHidden/>
    <w:unhideWhenUsed/>
    <w:rsid w:val="00DD5101"/>
    <w:pPr>
      <w:spacing w:after="120"/>
    </w:pPr>
    <w:rPr>
      <w:szCs w:val="24"/>
    </w:rPr>
  </w:style>
  <w:style w:type="character" w:customStyle="1" w:styleId="TextkrperZchn">
    <w:name w:val="Textkörper Zchn"/>
    <w:basedOn w:val="Absatz-Standardschriftart"/>
    <w:link w:val="Textkrper"/>
    <w:uiPriority w:val="99"/>
    <w:semiHidden/>
    <w:rsid w:val="00DD510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D5101"/>
    <w:pPr>
      <w:ind w:left="720"/>
      <w:contextualSpacing/>
    </w:pPr>
  </w:style>
  <w:style w:type="table" w:styleId="Tabellenraster">
    <w:name w:val="Table Grid"/>
    <w:basedOn w:val="NormaleTabelle"/>
    <w:uiPriority w:val="59"/>
    <w:rsid w:val="00072757"/>
    <w:pPr>
      <w:spacing w:after="0" w:line="240" w:lineRule="auto"/>
      <w:ind w:left="142"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1F06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633"/>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7056">
      <w:bodyDiv w:val="1"/>
      <w:marLeft w:val="0"/>
      <w:marRight w:val="0"/>
      <w:marTop w:val="0"/>
      <w:marBottom w:val="0"/>
      <w:divBdr>
        <w:top w:val="none" w:sz="0" w:space="0" w:color="auto"/>
        <w:left w:val="none" w:sz="0" w:space="0" w:color="auto"/>
        <w:bottom w:val="none" w:sz="0" w:space="0" w:color="auto"/>
        <w:right w:val="none" w:sz="0" w:space="0" w:color="auto"/>
      </w:divBdr>
    </w:div>
    <w:div w:id="1497459011">
      <w:bodyDiv w:val="1"/>
      <w:marLeft w:val="0"/>
      <w:marRight w:val="0"/>
      <w:marTop w:val="0"/>
      <w:marBottom w:val="0"/>
      <w:divBdr>
        <w:top w:val="none" w:sz="0" w:space="0" w:color="auto"/>
        <w:left w:val="none" w:sz="0" w:space="0" w:color="auto"/>
        <w:bottom w:val="none" w:sz="0" w:space="0" w:color="auto"/>
        <w:right w:val="none" w:sz="0" w:space="0" w:color="auto"/>
      </w:divBdr>
    </w:div>
    <w:div w:id="1561674434">
      <w:bodyDiv w:val="1"/>
      <w:marLeft w:val="0"/>
      <w:marRight w:val="0"/>
      <w:marTop w:val="0"/>
      <w:marBottom w:val="0"/>
      <w:divBdr>
        <w:top w:val="none" w:sz="0" w:space="0" w:color="auto"/>
        <w:left w:val="none" w:sz="0" w:space="0" w:color="auto"/>
        <w:bottom w:val="none" w:sz="0" w:space="0" w:color="auto"/>
        <w:right w:val="none" w:sz="0" w:space="0" w:color="auto"/>
      </w:divBdr>
    </w:div>
    <w:div w:id="1747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steiniger</dc:creator>
  <cp:keywords/>
  <dc:description/>
  <cp:lastModifiedBy>steiniger</cp:lastModifiedBy>
  <cp:revision>2</cp:revision>
  <cp:lastPrinted>2025-02-18T08:42:00Z</cp:lastPrinted>
  <dcterms:created xsi:type="dcterms:W3CDTF">2025-02-18T08:42:00Z</dcterms:created>
  <dcterms:modified xsi:type="dcterms:W3CDTF">2025-02-18T08:42:00Z</dcterms:modified>
</cp:coreProperties>
</file>