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0F196E">
        <w:rPr>
          <w:rFonts w:ascii="Unit-Regular" w:hAnsi="Unit-Regular"/>
          <w:b/>
        </w:rPr>
        <w:t xml:space="preserve">  </w:t>
      </w:r>
      <w:r w:rsidR="004E7B98">
        <w:rPr>
          <w:rFonts w:ascii="Unit-Regular" w:hAnsi="Unit-Regular"/>
          <w:b/>
        </w:rPr>
        <w:t>0</w:t>
      </w:r>
      <w:r w:rsidR="004674F9">
        <w:rPr>
          <w:rFonts w:ascii="Unit-Regular" w:hAnsi="Unit-Regular"/>
          <w:b/>
        </w:rPr>
        <w:t>1</w:t>
      </w:r>
      <w:r w:rsidR="00381E09">
        <w:rPr>
          <w:rFonts w:ascii="Unit-Regular" w:hAnsi="Unit-Regular"/>
          <w:b/>
        </w:rPr>
        <w:t>/</w:t>
      </w:r>
      <w:r w:rsidR="004D7EF4">
        <w:rPr>
          <w:rFonts w:ascii="Unit-Regular" w:hAnsi="Unit-Regular"/>
          <w:b/>
        </w:rPr>
        <w:t>0</w:t>
      </w:r>
      <w:r w:rsidR="00AA6C32">
        <w:rPr>
          <w:rFonts w:ascii="Unit-Regular" w:hAnsi="Unit-Regular"/>
          <w:b/>
        </w:rPr>
        <w:t>8</w:t>
      </w:r>
      <w:r w:rsidR="00FE3B4E" w:rsidRPr="004A5171">
        <w:rPr>
          <w:rFonts w:ascii="Unit-Regular" w:hAnsi="Unit-Regular"/>
          <w:b/>
        </w:rPr>
        <w:t>/202</w:t>
      </w:r>
      <w:r w:rsidR="00DF2A18">
        <w:rPr>
          <w:rFonts w:ascii="Unit-Regular" w:hAnsi="Unit-Regular"/>
          <w:b/>
        </w:rPr>
        <w:t>5</w:t>
      </w:r>
      <w:r w:rsidR="00AA6C32">
        <w:rPr>
          <w:rFonts w:ascii="Unit-Regular" w:hAnsi="Unit-Regular"/>
          <w:b/>
        </w:rPr>
        <w:t xml:space="preserve"> 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F196E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Herr Mikoleiczik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  <w:r w:rsidRPr="005368A4">
              <w:rPr>
                <w:rFonts w:ascii="Unit-Regular" w:hAnsi="Unit-Regular"/>
                <w:b/>
              </w:rPr>
              <w:t xml:space="preserve">Auftragsvergabe </w:t>
            </w:r>
            <w:r w:rsidR="00CB283D">
              <w:rPr>
                <w:rFonts w:ascii="Unit-Regular" w:hAnsi="Unit-Regular"/>
                <w:b/>
              </w:rPr>
              <w:t>Erweiterung Kindertagesstätte Regis-Breitingen</w:t>
            </w:r>
          </w:p>
          <w:p w:rsidR="00CB283D" w:rsidRDefault="00CB283D" w:rsidP="0046349C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Los </w:t>
            </w:r>
            <w:r w:rsidR="004674F9">
              <w:rPr>
                <w:rFonts w:ascii="Unit-Regular" w:hAnsi="Unit-Regular"/>
                <w:b/>
              </w:rPr>
              <w:t>3</w:t>
            </w:r>
            <w:r w:rsidR="00AA6C32">
              <w:rPr>
                <w:rFonts w:ascii="Unit-Regular" w:hAnsi="Unit-Regular"/>
                <w:b/>
              </w:rPr>
              <w:t xml:space="preserve"> </w:t>
            </w:r>
            <w:r w:rsidR="004674F9">
              <w:rPr>
                <w:rFonts w:ascii="Unit-Regular" w:hAnsi="Unit-Regular"/>
                <w:b/>
              </w:rPr>
              <w:t>Gründungsverbesserung</w:t>
            </w:r>
          </w:p>
          <w:p w:rsidR="000F196E" w:rsidRDefault="000F196E" w:rsidP="0046349C">
            <w:pPr>
              <w:ind w:left="-120" w:firstLine="22"/>
              <w:rPr>
                <w:rFonts w:ascii="Unit-Regular" w:hAnsi="Unit-Regular"/>
                <w:b/>
              </w:rPr>
            </w:pP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./</w:t>
            </w: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nichtöffentl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CB283D" w:rsidP="004674F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1</w:t>
            </w:r>
            <w:r w:rsidR="004674F9">
              <w:rPr>
                <w:rFonts w:ascii="Unit-Regular" w:hAnsi="Unit-Regular"/>
                <w:sz w:val="22"/>
              </w:rPr>
              <w:t>3</w:t>
            </w:r>
            <w:r>
              <w:rPr>
                <w:rFonts w:ascii="Unit-Regular" w:hAnsi="Unit-Regular"/>
                <w:sz w:val="22"/>
              </w:rPr>
              <w:t>.0</w:t>
            </w:r>
            <w:r w:rsidR="004674F9">
              <w:rPr>
                <w:rFonts w:ascii="Unit-Regular" w:hAnsi="Unit-Regular"/>
                <w:sz w:val="22"/>
              </w:rPr>
              <w:t>2</w:t>
            </w:r>
            <w:r w:rsidR="00DE02E7">
              <w:rPr>
                <w:rFonts w:ascii="Unit-Regular" w:hAnsi="Unit-Regular"/>
                <w:sz w:val="22"/>
              </w:rPr>
              <w:t>.202</w:t>
            </w:r>
            <w:r>
              <w:rPr>
                <w:rFonts w:ascii="Unit-Regular" w:hAnsi="Unit-Regular"/>
                <w:sz w:val="22"/>
              </w:rPr>
              <w:t>5</w:t>
            </w: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DE02E7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ja</w:t>
            </w: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4674F9" w:rsidRDefault="004674F9" w:rsidP="004674F9">
      <w:pPr>
        <w:jc w:val="both"/>
        <w:rPr>
          <w:rFonts w:ascii="Unit-Regular" w:hAnsi="Unit-Regular"/>
          <w:sz w:val="22"/>
          <w:szCs w:val="22"/>
        </w:rPr>
      </w:pPr>
      <w:bookmarkStart w:id="0" w:name="_GoBack"/>
      <w:bookmarkEnd w:id="0"/>
      <w:r>
        <w:rPr>
          <w:rFonts w:ascii="Unit-Regular" w:hAnsi="Unit-Regular"/>
          <w:sz w:val="22"/>
          <w:szCs w:val="22"/>
        </w:rPr>
        <w:t xml:space="preserve">Die Firma </w:t>
      </w:r>
      <w:r w:rsidRPr="00DA7B66">
        <w:rPr>
          <w:rFonts w:ascii="Unit-Regular" w:hAnsi="Unit-Regular"/>
          <w:sz w:val="22"/>
          <w:szCs w:val="22"/>
        </w:rPr>
        <w:t xml:space="preserve">IST Internationale Spezialtiefbau GmbH aus Deggendorf </w:t>
      </w:r>
      <w:r>
        <w:rPr>
          <w:rFonts w:ascii="Unit-Regular" w:hAnsi="Unit-Regular"/>
          <w:sz w:val="22"/>
          <w:szCs w:val="22"/>
        </w:rPr>
        <w:t xml:space="preserve">wird mit der ausgeschriebenen Leistung, Los 3 Gründungsverbesserung für das Bauvorhaben Erweiterung KITA in Regis-Breitingen, </w:t>
      </w:r>
      <w:r w:rsidRPr="00F13248">
        <w:rPr>
          <w:rFonts w:ascii="Unit-Regular" w:hAnsi="Unit-Regular"/>
          <w:b/>
          <w:sz w:val="22"/>
          <w:szCs w:val="22"/>
        </w:rPr>
        <w:t xml:space="preserve">mit Brutto </w:t>
      </w:r>
      <w:r>
        <w:rPr>
          <w:rFonts w:ascii="Unit-Regular" w:hAnsi="Unit-Regular"/>
          <w:b/>
          <w:sz w:val="22"/>
          <w:szCs w:val="22"/>
        </w:rPr>
        <w:t>34.519,52</w:t>
      </w:r>
      <w:r w:rsidRPr="00F13248">
        <w:rPr>
          <w:rFonts w:ascii="Unit-Regular" w:hAnsi="Unit-Regular"/>
          <w:b/>
          <w:sz w:val="22"/>
          <w:szCs w:val="22"/>
        </w:rPr>
        <w:t xml:space="preserve"> €</w:t>
      </w:r>
      <w:r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>beauftragt.</w:t>
      </w:r>
      <w:r>
        <w:rPr>
          <w:rFonts w:ascii="Unit-Regular" w:hAnsi="Unit-Regular"/>
          <w:sz w:val="22"/>
          <w:szCs w:val="22"/>
        </w:rPr>
        <w:t xml:space="preserve"> </w:t>
      </w:r>
    </w:p>
    <w:p w:rsidR="004674F9" w:rsidRPr="005B339C" w:rsidRDefault="004674F9" w:rsidP="004674F9">
      <w:pPr>
        <w:rPr>
          <w:rFonts w:ascii="Unit-Regular" w:hAnsi="Unit-Regular"/>
        </w:rPr>
      </w:pPr>
    </w:p>
    <w:p w:rsidR="000F196E" w:rsidRDefault="000F196E" w:rsidP="004674F9">
      <w:pPr>
        <w:ind w:left="-120" w:firstLine="22"/>
        <w:rPr>
          <w:rFonts w:ascii="Unit-Regular" w:hAnsi="Unit-Regular"/>
          <w:sz w:val="22"/>
          <w:szCs w:val="22"/>
        </w:rPr>
      </w:pPr>
    </w:p>
    <w:p w:rsidR="000F196E" w:rsidRPr="00CB762B" w:rsidRDefault="000F196E" w:rsidP="000F196E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F196E" w:rsidRPr="00AF33B5" w:rsidRDefault="000F196E" w:rsidP="000F196E">
      <w:pPr>
        <w:rPr>
          <w:rFonts w:ascii="Unit-Regular" w:hAnsi="Unit-Regular"/>
          <w:sz w:val="22"/>
          <w:szCs w:val="22"/>
        </w:rPr>
      </w:pPr>
    </w:p>
    <w:p w:rsidR="00191C1D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Das ausschreibende </w:t>
      </w:r>
      <w:r w:rsidR="008908BC">
        <w:rPr>
          <w:rFonts w:ascii="Unit-Regular" w:hAnsi="Unit-Regular"/>
          <w:sz w:val="22"/>
          <w:szCs w:val="18"/>
        </w:rPr>
        <w:t>Architektur</w:t>
      </w:r>
      <w:r>
        <w:rPr>
          <w:rFonts w:ascii="Unit-Regular" w:hAnsi="Unit-Regular"/>
          <w:sz w:val="22"/>
          <w:szCs w:val="18"/>
        </w:rPr>
        <w:t>büro hat eine umfassende Vergabeempfehlung ausgearbeitet.</w:t>
      </w:r>
    </w:p>
    <w:p w:rsidR="00F13248" w:rsidRDefault="00F13248" w:rsidP="00191C1D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>Es liegen der Vergabeempfehlung mehrere Referenzschreiben für diese Firma bei.</w:t>
      </w:r>
    </w:p>
    <w:p w:rsidR="00F13248" w:rsidRPr="00191C1D" w:rsidRDefault="00F13248" w:rsidP="00191C1D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18"/>
        </w:rPr>
        <w:t>Ausschlaggebend ist der Preisspiegel der dem Beschluss beiliegt.</w:t>
      </w:r>
    </w:p>
    <w:p w:rsidR="00191C1D" w:rsidRDefault="00191C1D" w:rsidP="000C6E99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1D7BF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1D7BF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A7B27"/>
    <w:rsid w:val="000C6E99"/>
    <w:rsid w:val="000E596A"/>
    <w:rsid w:val="000F196E"/>
    <w:rsid w:val="00117694"/>
    <w:rsid w:val="00122957"/>
    <w:rsid w:val="00155292"/>
    <w:rsid w:val="00191C1D"/>
    <w:rsid w:val="001D7BF8"/>
    <w:rsid w:val="001F0633"/>
    <w:rsid w:val="002825A7"/>
    <w:rsid w:val="00300971"/>
    <w:rsid w:val="00365055"/>
    <w:rsid w:val="003654A5"/>
    <w:rsid w:val="00374152"/>
    <w:rsid w:val="00381E09"/>
    <w:rsid w:val="003E0EFF"/>
    <w:rsid w:val="0044531B"/>
    <w:rsid w:val="0046349C"/>
    <w:rsid w:val="004674F9"/>
    <w:rsid w:val="004A5171"/>
    <w:rsid w:val="004C09B6"/>
    <w:rsid w:val="004D7EF4"/>
    <w:rsid w:val="004E7B98"/>
    <w:rsid w:val="0051737D"/>
    <w:rsid w:val="00532445"/>
    <w:rsid w:val="00541702"/>
    <w:rsid w:val="0059740E"/>
    <w:rsid w:val="005C2F18"/>
    <w:rsid w:val="00677F45"/>
    <w:rsid w:val="006A2473"/>
    <w:rsid w:val="006B18BD"/>
    <w:rsid w:val="006B7368"/>
    <w:rsid w:val="006D1592"/>
    <w:rsid w:val="006E23B4"/>
    <w:rsid w:val="00720398"/>
    <w:rsid w:val="00750499"/>
    <w:rsid w:val="0077415C"/>
    <w:rsid w:val="007B3212"/>
    <w:rsid w:val="007E17BC"/>
    <w:rsid w:val="007E483F"/>
    <w:rsid w:val="0082792C"/>
    <w:rsid w:val="008324E9"/>
    <w:rsid w:val="00836FE9"/>
    <w:rsid w:val="008908BC"/>
    <w:rsid w:val="008B7D1C"/>
    <w:rsid w:val="009451D3"/>
    <w:rsid w:val="009718A7"/>
    <w:rsid w:val="0098239A"/>
    <w:rsid w:val="009D005F"/>
    <w:rsid w:val="00A514EC"/>
    <w:rsid w:val="00A5704E"/>
    <w:rsid w:val="00A97819"/>
    <w:rsid w:val="00AA6C32"/>
    <w:rsid w:val="00AF33B5"/>
    <w:rsid w:val="00B674C9"/>
    <w:rsid w:val="00B933C0"/>
    <w:rsid w:val="00BA3E20"/>
    <w:rsid w:val="00BE58FE"/>
    <w:rsid w:val="00C53891"/>
    <w:rsid w:val="00CB283D"/>
    <w:rsid w:val="00CB762B"/>
    <w:rsid w:val="00D63A8F"/>
    <w:rsid w:val="00D77DBC"/>
    <w:rsid w:val="00DA3E27"/>
    <w:rsid w:val="00DB3E0E"/>
    <w:rsid w:val="00DD5101"/>
    <w:rsid w:val="00DE02E7"/>
    <w:rsid w:val="00DF2A18"/>
    <w:rsid w:val="00E726C3"/>
    <w:rsid w:val="00EB4B53"/>
    <w:rsid w:val="00EF3AB1"/>
    <w:rsid w:val="00F13248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mikoleiczik</cp:lastModifiedBy>
  <cp:revision>3</cp:revision>
  <cp:lastPrinted>2025-02-13T10:37:00Z</cp:lastPrinted>
  <dcterms:created xsi:type="dcterms:W3CDTF">2025-02-11T15:05:00Z</dcterms:created>
  <dcterms:modified xsi:type="dcterms:W3CDTF">2025-02-13T12:50:00Z</dcterms:modified>
</cp:coreProperties>
</file>