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694" w:rsidRDefault="00117694" w:rsidP="00072757">
      <w:pPr>
        <w:rPr>
          <w:rFonts w:ascii="Unit-Regular" w:hAnsi="Unit-Regular"/>
          <w:b/>
        </w:rPr>
      </w:pPr>
      <w:r>
        <w:rPr>
          <w:rFonts w:ascii="Unit-Regular" w:hAnsi="Unit-Regular"/>
          <w:b/>
        </w:rPr>
        <w:t>Stadt Regis-Breitingen</w:t>
      </w:r>
    </w:p>
    <w:p w:rsidR="00381E09" w:rsidRDefault="00381E09" w:rsidP="00072757">
      <w:pPr>
        <w:rPr>
          <w:rFonts w:ascii="Unit-Regular" w:hAnsi="Unit-Regular"/>
          <w:b/>
        </w:rPr>
      </w:pPr>
      <w:r>
        <w:rPr>
          <w:rFonts w:ascii="Unit-Regular" w:hAnsi="Unit-Regular"/>
          <w:b/>
        </w:rPr>
        <w:t>Der Bürgermeister</w:t>
      </w:r>
    </w:p>
    <w:p w:rsidR="00381E09" w:rsidRDefault="00381E09" w:rsidP="00072757">
      <w:pPr>
        <w:rPr>
          <w:rFonts w:ascii="Unit-Regular" w:hAnsi="Unit-Regular"/>
          <w:b/>
        </w:rPr>
      </w:pPr>
    </w:p>
    <w:p w:rsidR="00072757" w:rsidRDefault="00072757" w:rsidP="00072757">
      <w:pPr>
        <w:rPr>
          <w:rFonts w:ascii="Unit-Regular" w:hAnsi="Unit-Regular"/>
          <w:b/>
        </w:rPr>
      </w:pPr>
      <w:r w:rsidRPr="004A5171">
        <w:rPr>
          <w:rFonts w:ascii="Unit-Regular" w:hAnsi="Unit-Regular"/>
          <w:b/>
        </w:rPr>
        <w:t>Beschlussvorlage Nr.</w:t>
      </w:r>
      <w:r w:rsidR="007E17BC">
        <w:rPr>
          <w:rFonts w:ascii="Unit-Regular" w:hAnsi="Unit-Regular"/>
          <w:b/>
        </w:rPr>
        <w:t xml:space="preserve"> </w:t>
      </w:r>
      <w:r w:rsidR="00FE3B4E" w:rsidRPr="004A5171">
        <w:rPr>
          <w:rFonts w:ascii="Unit-Regular" w:hAnsi="Unit-Regular"/>
          <w:b/>
        </w:rPr>
        <w:t>0</w:t>
      </w:r>
      <w:r w:rsidR="007A33D8">
        <w:rPr>
          <w:rFonts w:ascii="Unit-Regular" w:hAnsi="Unit-Regular"/>
          <w:b/>
        </w:rPr>
        <w:t>2</w:t>
      </w:r>
      <w:r w:rsidR="00381E09">
        <w:rPr>
          <w:rFonts w:ascii="Unit-Regular" w:hAnsi="Unit-Regular"/>
          <w:b/>
        </w:rPr>
        <w:t>/</w:t>
      </w:r>
      <w:r w:rsidR="007A33D8">
        <w:rPr>
          <w:rFonts w:ascii="Unit-Regular" w:hAnsi="Unit-Regular"/>
          <w:b/>
        </w:rPr>
        <w:t>01</w:t>
      </w:r>
      <w:r w:rsidR="00FE3B4E" w:rsidRPr="004A5171">
        <w:rPr>
          <w:rFonts w:ascii="Unit-Regular" w:hAnsi="Unit-Regular"/>
          <w:b/>
        </w:rPr>
        <w:t>/202</w:t>
      </w:r>
      <w:r w:rsidR="007A33D8">
        <w:rPr>
          <w:rFonts w:ascii="Unit-Regular" w:hAnsi="Unit-Regular"/>
          <w:b/>
        </w:rPr>
        <w:t>5 S</w:t>
      </w:r>
    </w:p>
    <w:p w:rsidR="004A5171" w:rsidRDefault="004A5171" w:rsidP="00072757">
      <w:pPr>
        <w:rPr>
          <w:rFonts w:ascii="Unit-Regular" w:hAnsi="Unit-Regular"/>
          <w:b/>
        </w:rPr>
      </w:pPr>
    </w:p>
    <w:tbl>
      <w:tblPr>
        <w:tblStyle w:val="Tabellenraster"/>
        <w:tblW w:w="0" w:type="auto"/>
        <w:tblBorders>
          <w:insideV w:val="none" w:sz="0" w:space="0" w:color="auto"/>
        </w:tblBorders>
        <w:tblLook w:val="04A0" w:firstRow="1" w:lastRow="0" w:firstColumn="1" w:lastColumn="0" w:noHBand="0" w:noVBand="1"/>
      </w:tblPr>
      <w:tblGrid>
        <w:gridCol w:w="4531"/>
        <w:gridCol w:w="4531"/>
      </w:tblGrid>
      <w:tr w:rsidR="004A5171" w:rsidTr="00381E09">
        <w:trPr>
          <w:trHeight w:val="680"/>
        </w:trPr>
        <w:tc>
          <w:tcPr>
            <w:tcW w:w="4531" w:type="dxa"/>
            <w:tcBorders>
              <w:bottom w:val="single" w:sz="4" w:space="0" w:color="000000" w:themeColor="text1"/>
            </w:tcBorders>
          </w:tcPr>
          <w:p w:rsidR="004A5171" w:rsidRDefault="00381E09" w:rsidP="00381E09">
            <w:pPr>
              <w:ind w:left="-120" w:firstLine="22"/>
              <w:rPr>
                <w:rFonts w:ascii="Unit-Regular" w:hAnsi="Unit-Regular"/>
                <w:b/>
                <w:sz w:val="20"/>
              </w:rPr>
            </w:pPr>
            <w:r w:rsidRPr="00381E09">
              <w:rPr>
                <w:rFonts w:ascii="Unit-Regular" w:hAnsi="Unit-Regular"/>
                <w:b/>
                <w:sz w:val="20"/>
              </w:rPr>
              <w:t>Einreicher:</w:t>
            </w:r>
          </w:p>
          <w:p w:rsidR="00381E09" w:rsidRDefault="007A33D8" w:rsidP="00381E09">
            <w:pPr>
              <w:ind w:left="-120" w:firstLine="22"/>
              <w:rPr>
                <w:rFonts w:ascii="Unit-Regular" w:hAnsi="Unit-Regular"/>
                <w:b/>
              </w:rPr>
            </w:pPr>
            <w:r>
              <w:rPr>
                <w:rFonts w:ascii="Unit-Regular" w:hAnsi="Unit-Regular"/>
                <w:b/>
              </w:rPr>
              <w:t>Hauptverwaltung , Frau Steiniger</w:t>
            </w:r>
          </w:p>
        </w:tc>
        <w:tc>
          <w:tcPr>
            <w:tcW w:w="4531" w:type="dxa"/>
            <w:tcBorders>
              <w:bottom w:val="single" w:sz="4" w:space="0" w:color="000000" w:themeColor="text1"/>
            </w:tcBorders>
            <w:vAlign w:val="center"/>
          </w:tcPr>
          <w:p w:rsidR="004A5171" w:rsidRDefault="004A5171" w:rsidP="004A5171">
            <w:pPr>
              <w:ind w:left="0" w:firstLine="0"/>
              <w:jc w:val="right"/>
              <w:rPr>
                <w:rFonts w:ascii="Unit-Regular" w:hAnsi="Unit-Regular"/>
                <w:b/>
              </w:rPr>
            </w:pPr>
          </w:p>
        </w:tc>
      </w:tr>
      <w:tr w:rsidR="00381E09" w:rsidRPr="00381E09" w:rsidTr="00381E09">
        <w:trPr>
          <w:trHeight w:val="283"/>
        </w:trPr>
        <w:tc>
          <w:tcPr>
            <w:tcW w:w="4531" w:type="dxa"/>
            <w:tcBorders>
              <w:left w:val="nil"/>
            </w:tcBorders>
            <w:vAlign w:val="center"/>
          </w:tcPr>
          <w:p w:rsidR="00381E09" w:rsidRPr="00381E09" w:rsidRDefault="00381E09" w:rsidP="00381E09">
            <w:pPr>
              <w:ind w:left="-120" w:firstLine="22"/>
              <w:jc w:val="center"/>
              <w:rPr>
                <w:rFonts w:ascii="Unit-Regular" w:hAnsi="Unit-Regular"/>
                <w:b/>
                <w:sz w:val="18"/>
              </w:rPr>
            </w:pPr>
          </w:p>
        </w:tc>
        <w:tc>
          <w:tcPr>
            <w:tcW w:w="4531" w:type="dxa"/>
            <w:tcBorders>
              <w:right w:val="nil"/>
            </w:tcBorders>
            <w:vAlign w:val="center"/>
          </w:tcPr>
          <w:p w:rsidR="00381E09" w:rsidRPr="00381E09" w:rsidRDefault="00381E09" w:rsidP="00381E09">
            <w:pPr>
              <w:jc w:val="center"/>
              <w:rPr>
                <w:rFonts w:ascii="Unit-Regular" w:hAnsi="Unit-Regular"/>
                <w:b/>
                <w:sz w:val="18"/>
              </w:rPr>
            </w:pPr>
          </w:p>
        </w:tc>
      </w:tr>
      <w:tr w:rsidR="00381E09" w:rsidTr="00381E09">
        <w:trPr>
          <w:trHeight w:val="680"/>
        </w:trPr>
        <w:tc>
          <w:tcPr>
            <w:tcW w:w="4531" w:type="dxa"/>
          </w:tcPr>
          <w:p w:rsidR="00381E09" w:rsidRDefault="00381E09" w:rsidP="00381E09">
            <w:pPr>
              <w:ind w:left="-120" w:firstLine="22"/>
              <w:rPr>
                <w:rFonts w:ascii="Unit-Regular" w:hAnsi="Unit-Regular"/>
                <w:b/>
                <w:sz w:val="20"/>
              </w:rPr>
            </w:pPr>
            <w:r w:rsidRPr="00381E09">
              <w:rPr>
                <w:rFonts w:ascii="Unit-Regular" w:hAnsi="Unit-Regular"/>
                <w:b/>
                <w:sz w:val="20"/>
              </w:rPr>
              <w:t>Gegenstand:</w:t>
            </w:r>
          </w:p>
          <w:p w:rsidR="00A514EC" w:rsidRDefault="007A33D8" w:rsidP="00381E09">
            <w:pPr>
              <w:ind w:left="-120" w:firstLine="22"/>
              <w:rPr>
                <w:rFonts w:ascii="Unit-Regular" w:hAnsi="Unit-Regular"/>
                <w:b/>
              </w:rPr>
            </w:pPr>
            <w:r>
              <w:rPr>
                <w:rFonts w:ascii="Unit-Regular" w:hAnsi="Unit-Regular"/>
                <w:b/>
              </w:rPr>
              <w:t>Haushaltvorgriff 2025 zur Anschaffung von Wahlkabinen</w:t>
            </w:r>
          </w:p>
        </w:tc>
        <w:tc>
          <w:tcPr>
            <w:tcW w:w="4531" w:type="dxa"/>
            <w:vAlign w:val="center"/>
          </w:tcPr>
          <w:p w:rsidR="00381E09" w:rsidRDefault="00381E09" w:rsidP="004A5171">
            <w:pPr>
              <w:jc w:val="right"/>
              <w:rPr>
                <w:rFonts w:ascii="Unit-Regular" w:hAnsi="Unit-Regular"/>
                <w:b/>
              </w:rPr>
            </w:pPr>
          </w:p>
        </w:tc>
      </w:tr>
    </w:tbl>
    <w:p w:rsidR="00072757" w:rsidRPr="004A5171" w:rsidRDefault="00072757" w:rsidP="00072757">
      <w:pPr>
        <w:jc w:val="both"/>
        <w:rPr>
          <w:rFonts w:ascii="Unit-Regular" w:hAnsi="Unit-Regular"/>
        </w:rPr>
      </w:pPr>
    </w:p>
    <w:tbl>
      <w:tblPr>
        <w:tblStyle w:val="Tabellenraster"/>
        <w:tblW w:w="0" w:type="auto"/>
        <w:tblLook w:val="04A0" w:firstRow="1" w:lastRow="0" w:firstColumn="1" w:lastColumn="0" w:noHBand="0" w:noVBand="1"/>
      </w:tblPr>
      <w:tblGrid>
        <w:gridCol w:w="1759"/>
        <w:gridCol w:w="1785"/>
        <w:gridCol w:w="2058"/>
        <w:gridCol w:w="1625"/>
        <w:gridCol w:w="1835"/>
      </w:tblGrid>
      <w:tr w:rsidR="00381E09" w:rsidRPr="00381E09" w:rsidTr="00381E09">
        <w:trPr>
          <w:trHeight w:val="454"/>
        </w:trPr>
        <w:tc>
          <w:tcPr>
            <w:tcW w:w="1759" w:type="dxa"/>
            <w:vAlign w:val="center"/>
          </w:tcPr>
          <w:p w:rsidR="00381E09" w:rsidRPr="00381E09" w:rsidRDefault="00381E09" w:rsidP="00381E09">
            <w:pPr>
              <w:ind w:left="-120" w:firstLine="0"/>
              <w:jc w:val="center"/>
              <w:rPr>
                <w:rFonts w:ascii="Unit-Regular" w:hAnsi="Unit-Regular"/>
                <w:b/>
                <w:sz w:val="22"/>
              </w:rPr>
            </w:pPr>
            <w:r w:rsidRPr="00381E09">
              <w:rPr>
                <w:rFonts w:ascii="Unit-Regular" w:hAnsi="Unit-Regular"/>
                <w:b/>
                <w:sz w:val="22"/>
              </w:rPr>
              <w:t>Beratungsfolge</w:t>
            </w:r>
          </w:p>
        </w:tc>
        <w:tc>
          <w:tcPr>
            <w:tcW w:w="1785" w:type="dxa"/>
            <w:vAlign w:val="center"/>
          </w:tcPr>
          <w:p w:rsidR="00381E09" w:rsidRPr="00381E09" w:rsidRDefault="00381E09" w:rsidP="00381E09">
            <w:pPr>
              <w:ind w:left="-76" w:firstLine="0"/>
              <w:jc w:val="center"/>
              <w:rPr>
                <w:rFonts w:ascii="Unit-Regular" w:hAnsi="Unit-Regular"/>
                <w:b/>
                <w:sz w:val="22"/>
              </w:rPr>
            </w:pPr>
            <w:r w:rsidRPr="00381E09">
              <w:rPr>
                <w:rFonts w:ascii="Unit-Regular" w:hAnsi="Unit-Regular"/>
                <w:b/>
                <w:sz w:val="22"/>
              </w:rPr>
              <w:t>Sitzungstermine</w:t>
            </w:r>
          </w:p>
        </w:tc>
        <w:tc>
          <w:tcPr>
            <w:tcW w:w="2058" w:type="dxa"/>
            <w:vAlign w:val="center"/>
          </w:tcPr>
          <w:p w:rsidR="00381E09" w:rsidRPr="00381E09" w:rsidRDefault="00381E09" w:rsidP="00381E09">
            <w:pPr>
              <w:ind w:left="-48" w:firstLine="0"/>
              <w:jc w:val="center"/>
              <w:rPr>
                <w:rFonts w:ascii="Unit-Regular" w:hAnsi="Unit-Regular"/>
                <w:b/>
                <w:sz w:val="22"/>
              </w:rPr>
            </w:pPr>
            <w:r w:rsidRPr="00381E09">
              <w:rPr>
                <w:rFonts w:ascii="Unit-Regular" w:hAnsi="Unit-Regular"/>
                <w:b/>
                <w:sz w:val="22"/>
              </w:rPr>
              <w:t>öffentl./nichtöffentl.</w:t>
            </w:r>
          </w:p>
        </w:tc>
        <w:tc>
          <w:tcPr>
            <w:tcW w:w="1625" w:type="dxa"/>
            <w:vAlign w:val="center"/>
          </w:tcPr>
          <w:p w:rsidR="00381E09" w:rsidRPr="00381E09" w:rsidRDefault="00381E09" w:rsidP="00381E09">
            <w:pPr>
              <w:ind w:left="-20" w:firstLine="0"/>
              <w:jc w:val="center"/>
              <w:rPr>
                <w:rFonts w:ascii="Unit-Regular" w:hAnsi="Unit-Regular"/>
                <w:b/>
                <w:sz w:val="22"/>
              </w:rPr>
            </w:pPr>
            <w:r w:rsidRPr="00381E09">
              <w:rPr>
                <w:rFonts w:ascii="Unit-Regular" w:hAnsi="Unit-Regular"/>
                <w:b/>
                <w:sz w:val="22"/>
              </w:rPr>
              <w:t>Empfehlung</w:t>
            </w:r>
          </w:p>
        </w:tc>
        <w:tc>
          <w:tcPr>
            <w:tcW w:w="1835" w:type="dxa"/>
            <w:vAlign w:val="center"/>
          </w:tcPr>
          <w:p w:rsidR="00381E09" w:rsidRPr="00381E09" w:rsidRDefault="00381E09" w:rsidP="00381E09">
            <w:pPr>
              <w:ind w:left="0" w:firstLine="0"/>
              <w:jc w:val="center"/>
              <w:rPr>
                <w:rFonts w:ascii="Unit-Regular" w:hAnsi="Unit-Regular"/>
                <w:b/>
                <w:sz w:val="22"/>
              </w:rPr>
            </w:pPr>
            <w:r w:rsidRPr="00381E09">
              <w:rPr>
                <w:rFonts w:ascii="Unit-Regular" w:hAnsi="Unit-Regular"/>
                <w:b/>
                <w:sz w:val="22"/>
              </w:rPr>
              <w:t>ohne Empfehlung</w:t>
            </w:r>
          </w:p>
        </w:tc>
      </w:tr>
      <w:tr w:rsidR="00381E09" w:rsidTr="00381E09">
        <w:trPr>
          <w:trHeight w:val="454"/>
        </w:trPr>
        <w:tc>
          <w:tcPr>
            <w:tcW w:w="1759" w:type="dxa"/>
            <w:vAlign w:val="center"/>
          </w:tcPr>
          <w:p w:rsidR="00381E09" w:rsidRDefault="00381E09" w:rsidP="00381E09">
            <w:pPr>
              <w:ind w:left="-120" w:firstLine="0"/>
              <w:jc w:val="center"/>
              <w:rPr>
                <w:rFonts w:ascii="Unit-Regular" w:hAnsi="Unit-Regular"/>
                <w:sz w:val="22"/>
              </w:rPr>
            </w:pPr>
            <w:r>
              <w:rPr>
                <w:rFonts w:ascii="Unit-Regular" w:hAnsi="Unit-Regular"/>
                <w:sz w:val="22"/>
              </w:rPr>
              <w:t>Technischer Ausschuss</w:t>
            </w:r>
          </w:p>
        </w:tc>
        <w:tc>
          <w:tcPr>
            <w:tcW w:w="1785" w:type="dxa"/>
            <w:vAlign w:val="center"/>
          </w:tcPr>
          <w:p w:rsidR="00381E09" w:rsidRDefault="00381E09" w:rsidP="00381E09">
            <w:pPr>
              <w:ind w:left="-76" w:firstLine="0"/>
              <w:jc w:val="center"/>
              <w:rPr>
                <w:rFonts w:ascii="Unit-Regular" w:hAnsi="Unit-Regular"/>
                <w:sz w:val="22"/>
              </w:rPr>
            </w:pPr>
          </w:p>
        </w:tc>
        <w:tc>
          <w:tcPr>
            <w:tcW w:w="2058" w:type="dxa"/>
            <w:vAlign w:val="center"/>
          </w:tcPr>
          <w:p w:rsidR="00381E09" w:rsidRDefault="00381E09" w:rsidP="00381E09">
            <w:pPr>
              <w:ind w:left="-48" w:firstLine="0"/>
              <w:jc w:val="center"/>
              <w:rPr>
                <w:rFonts w:ascii="Unit-Regular" w:hAnsi="Unit-Regular"/>
                <w:sz w:val="22"/>
              </w:rPr>
            </w:pPr>
          </w:p>
        </w:tc>
        <w:tc>
          <w:tcPr>
            <w:tcW w:w="1625" w:type="dxa"/>
            <w:vAlign w:val="center"/>
          </w:tcPr>
          <w:p w:rsidR="00381E09" w:rsidRDefault="00381E09" w:rsidP="00381E09">
            <w:pPr>
              <w:ind w:left="-20" w:firstLine="0"/>
              <w:jc w:val="center"/>
              <w:rPr>
                <w:rFonts w:ascii="Unit-Regular" w:hAnsi="Unit-Regular"/>
                <w:sz w:val="22"/>
              </w:rPr>
            </w:pPr>
          </w:p>
        </w:tc>
        <w:tc>
          <w:tcPr>
            <w:tcW w:w="1835" w:type="dxa"/>
            <w:vAlign w:val="center"/>
          </w:tcPr>
          <w:p w:rsidR="00381E09" w:rsidRDefault="00381E09" w:rsidP="00381E09">
            <w:pPr>
              <w:ind w:left="0" w:firstLine="0"/>
              <w:jc w:val="center"/>
              <w:rPr>
                <w:rFonts w:ascii="Unit-Regular" w:hAnsi="Unit-Regular"/>
                <w:sz w:val="22"/>
              </w:rPr>
            </w:pPr>
          </w:p>
        </w:tc>
      </w:tr>
      <w:tr w:rsidR="00381E09" w:rsidTr="00381E09">
        <w:trPr>
          <w:trHeight w:val="454"/>
        </w:trPr>
        <w:tc>
          <w:tcPr>
            <w:tcW w:w="1759" w:type="dxa"/>
            <w:vAlign w:val="center"/>
          </w:tcPr>
          <w:p w:rsidR="00381E09" w:rsidRDefault="00381E09" w:rsidP="00381E09">
            <w:pPr>
              <w:ind w:left="-120" w:firstLine="0"/>
              <w:jc w:val="center"/>
              <w:rPr>
                <w:rFonts w:ascii="Unit-Regular" w:hAnsi="Unit-Regular"/>
                <w:sz w:val="22"/>
              </w:rPr>
            </w:pPr>
            <w:r>
              <w:rPr>
                <w:rFonts w:ascii="Unit-Regular" w:hAnsi="Unit-Regular"/>
                <w:sz w:val="22"/>
              </w:rPr>
              <w:t>Verwaltungs-ausschuss</w:t>
            </w:r>
          </w:p>
        </w:tc>
        <w:tc>
          <w:tcPr>
            <w:tcW w:w="1785" w:type="dxa"/>
            <w:vAlign w:val="center"/>
          </w:tcPr>
          <w:p w:rsidR="00381E09" w:rsidRDefault="00381E09" w:rsidP="00381E09">
            <w:pPr>
              <w:ind w:left="-76" w:firstLine="0"/>
              <w:jc w:val="center"/>
              <w:rPr>
                <w:rFonts w:ascii="Unit-Regular" w:hAnsi="Unit-Regular"/>
                <w:sz w:val="22"/>
              </w:rPr>
            </w:pPr>
          </w:p>
        </w:tc>
        <w:tc>
          <w:tcPr>
            <w:tcW w:w="2058" w:type="dxa"/>
            <w:vAlign w:val="center"/>
          </w:tcPr>
          <w:p w:rsidR="00381E09" w:rsidRDefault="00381E09" w:rsidP="00381E09">
            <w:pPr>
              <w:ind w:left="-48" w:firstLine="0"/>
              <w:jc w:val="center"/>
              <w:rPr>
                <w:rFonts w:ascii="Unit-Regular" w:hAnsi="Unit-Regular"/>
                <w:sz w:val="22"/>
              </w:rPr>
            </w:pPr>
          </w:p>
        </w:tc>
        <w:tc>
          <w:tcPr>
            <w:tcW w:w="1625" w:type="dxa"/>
            <w:vAlign w:val="center"/>
          </w:tcPr>
          <w:p w:rsidR="00381E09" w:rsidRDefault="00381E09" w:rsidP="00381E09">
            <w:pPr>
              <w:ind w:left="-20" w:firstLine="0"/>
              <w:jc w:val="center"/>
              <w:rPr>
                <w:rFonts w:ascii="Unit-Regular" w:hAnsi="Unit-Regular"/>
                <w:sz w:val="22"/>
              </w:rPr>
            </w:pPr>
          </w:p>
        </w:tc>
        <w:tc>
          <w:tcPr>
            <w:tcW w:w="1835" w:type="dxa"/>
            <w:vAlign w:val="center"/>
          </w:tcPr>
          <w:p w:rsidR="00381E09" w:rsidRDefault="00381E09" w:rsidP="00381E09">
            <w:pPr>
              <w:ind w:left="0" w:firstLine="0"/>
              <w:jc w:val="center"/>
              <w:rPr>
                <w:rFonts w:ascii="Unit-Regular" w:hAnsi="Unit-Regular"/>
                <w:sz w:val="22"/>
              </w:rPr>
            </w:pPr>
          </w:p>
        </w:tc>
      </w:tr>
    </w:tbl>
    <w:p w:rsidR="00381E09" w:rsidRDefault="00381E09" w:rsidP="00072757">
      <w:pPr>
        <w:jc w:val="both"/>
        <w:rPr>
          <w:rFonts w:ascii="Unit-Regular" w:hAnsi="Unit-Regular"/>
          <w:sz w:val="22"/>
        </w:rPr>
      </w:pPr>
    </w:p>
    <w:p w:rsidR="00381E09" w:rsidRPr="00381E09" w:rsidRDefault="00381E09" w:rsidP="00072757">
      <w:pPr>
        <w:jc w:val="both"/>
        <w:rPr>
          <w:rFonts w:ascii="Unit-Regular" w:hAnsi="Unit-Regular"/>
          <w:b/>
          <w:sz w:val="22"/>
        </w:rPr>
      </w:pPr>
      <w:r w:rsidRPr="00381E09">
        <w:rPr>
          <w:rFonts w:ascii="Unit-Regular" w:hAnsi="Unit-Regular"/>
          <w:b/>
          <w:sz w:val="22"/>
        </w:rPr>
        <w:t>Beschlussvorschlag:</w:t>
      </w:r>
    </w:p>
    <w:p w:rsidR="00381E09" w:rsidRPr="00AF33B5" w:rsidRDefault="00381E09" w:rsidP="00072757">
      <w:pPr>
        <w:jc w:val="both"/>
        <w:rPr>
          <w:rFonts w:ascii="Unit-Regular" w:hAnsi="Unit-Regular"/>
          <w:sz w:val="22"/>
          <w:szCs w:val="22"/>
        </w:rPr>
      </w:pPr>
    </w:p>
    <w:p w:rsidR="006D274B" w:rsidRDefault="006D274B" w:rsidP="006D274B">
      <w:pPr>
        <w:jc w:val="both"/>
        <w:rPr>
          <w:rFonts w:ascii="Unit-Regular" w:hAnsi="Unit-Regular"/>
          <w:sz w:val="22"/>
          <w:szCs w:val="22"/>
        </w:rPr>
      </w:pPr>
      <w:r>
        <w:rPr>
          <w:rFonts w:ascii="Unit-Regular" w:hAnsi="Unit-Regular"/>
          <w:sz w:val="22"/>
          <w:szCs w:val="22"/>
        </w:rPr>
        <w:t>Die Stadträte der Stadt Regis-Breitingen wollen folgenden Beschluss fassen:</w:t>
      </w:r>
    </w:p>
    <w:p w:rsidR="006D274B" w:rsidRDefault="006D274B" w:rsidP="006D274B">
      <w:pPr>
        <w:jc w:val="both"/>
        <w:rPr>
          <w:rFonts w:ascii="Unit-Regular" w:hAnsi="Unit-Regular"/>
          <w:sz w:val="22"/>
          <w:szCs w:val="22"/>
        </w:rPr>
      </w:pPr>
    </w:p>
    <w:p w:rsidR="00CB762B" w:rsidRDefault="007A33D8" w:rsidP="00CB762B">
      <w:pPr>
        <w:rPr>
          <w:rFonts w:ascii="Unit-Regular" w:hAnsi="Unit-Regular"/>
          <w:sz w:val="22"/>
          <w:szCs w:val="22"/>
        </w:rPr>
      </w:pPr>
      <w:r>
        <w:rPr>
          <w:rFonts w:ascii="Unit-Regular" w:hAnsi="Unit-Regular"/>
          <w:sz w:val="22"/>
          <w:szCs w:val="22"/>
        </w:rPr>
        <w:t xml:space="preserve">Im Haushaltplanentwurf der Stadt Regis-Breitingen sind </w:t>
      </w:r>
      <w:r w:rsidR="00565440">
        <w:rPr>
          <w:rFonts w:ascii="Unit-Regular" w:hAnsi="Unit-Regular"/>
          <w:sz w:val="22"/>
          <w:szCs w:val="22"/>
        </w:rPr>
        <w:t xml:space="preserve">4.000,00 </w:t>
      </w:r>
      <w:bookmarkStart w:id="0" w:name="_GoBack"/>
      <w:bookmarkEnd w:id="0"/>
      <w:r>
        <w:rPr>
          <w:rFonts w:ascii="Unit-Regular" w:hAnsi="Unit-Regular"/>
          <w:sz w:val="22"/>
          <w:szCs w:val="22"/>
        </w:rPr>
        <w:t>€ zur Anschaffung von Wahlkabinen vorgesehen.</w:t>
      </w:r>
    </w:p>
    <w:p w:rsidR="007A33D8" w:rsidRDefault="007A33D8" w:rsidP="00CB762B">
      <w:pPr>
        <w:rPr>
          <w:rFonts w:ascii="Unit-Regular" w:hAnsi="Unit-Regular"/>
          <w:sz w:val="22"/>
          <w:szCs w:val="22"/>
        </w:rPr>
      </w:pPr>
      <w:r>
        <w:rPr>
          <w:rFonts w:ascii="Unit-Regular" w:hAnsi="Unit-Regular"/>
          <w:sz w:val="22"/>
          <w:szCs w:val="22"/>
        </w:rPr>
        <w:t>Da die Bundestagswahl 2025 vorgezogen wurde und dadurch die Wahlkabinen schon vor Inkrafttreten des Haushaltplanes angeschafft werden müssen, ist ein Haushaltvorgriff notwendig.</w:t>
      </w:r>
    </w:p>
    <w:p w:rsidR="007A33D8" w:rsidRPr="00AF33B5" w:rsidRDefault="007A33D8" w:rsidP="00CB762B">
      <w:pPr>
        <w:rPr>
          <w:rFonts w:ascii="Unit-Regular" w:hAnsi="Unit-Regular"/>
          <w:sz w:val="22"/>
          <w:szCs w:val="22"/>
        </w:rPr>
      </w:pPr>
    </w:p>
    <w:p w:rsidR="00CB762B" w:rsidRPr="00CB762B" w:rsidRDefault="00CB762B" w:rsidP="00CB762B">
      <w:pPr>
        <w:rPr>
          <w:rFonts w:ascii="Unit-Regular" w:hAnsi="Unit-Regular"/>
          <w:b/>
        </w:rPr>
      </w:pPr>
      <w:r w:rsidRPr="00CB762B">
        <w:rPr>
          <w:rFonts w:ascii="Unit-Regular" w:hAnsi="Unit-Regular"/>
          <w:b/>
        </w:rPr>
        <w:t>Begründung:</w:t>
      </w:r>
    </w:p>
    <w:p w:rsidR="00AF33B5" w:rsidRPr="00AF33B5" w:rsidRDefault="007A33D8" w:rsidP="006B7368">
      <w:pPr>
        <w:rPr>
          <w:rFonts w:ascii="Unit-Regular" w:hAnsi="Unit-Regular"/>
          <w:sz w:val="22"/>
          <w:szCs w:val="22"/>
        </w:rPr>
      </w:pPr>
      <w:r>
        <w:rPr>
          <w:rFonts w:ascii="Unit-Regular" w:hAnsi="Unit-Regular"/>
          <w:sz w:val="22"/>
          <w:szCs w:val="22"/>
        </w:rPr>
        <w:t>Die Wahlkabinen der Stadt Regis-Breitingen sind über 30 Jahre alt. Durch das vielfache Auf- und Abbauen funktionieren die Scharniere nicht mehr richtig. Vom Leiter des Bauhofes wurden diese Mängel nach der Landtagswahl 2024 angezeigt. Wir haben uns dafür entschieden nach und nach die Wahlräume mit neuen Kabinen auszustatten.</w:t>
      </w:r>
    </w:p>
    <w:p w:rsidR="00AF33B5" w:rsidRPr="00AF33B5" w:rsidRDefault="00AF33B5" w:rsidP="006B7368">
      <w:pPr>
        <w:rPr>
          <w:rFonts w:ascii="Unit-Regular" w:hAnsi="Unit-Regular"/>
          <w:sz w:val="22"/>
          <w:szCs w:val="22"/>
        </w:rPr>
      </w:pPr>
    </w:p>
    <w:p w:rsidR="008B7D1C" w:rsidRPr="00AF33B5" w:rsidRDefault="008B7D1C" w:rsidP="006B7368">
      <w:pPr>
        <w:rPr>
          <w:rFonts w:ascii="Unit-Regular" w:hAnsi="Unit-Regular"/>
          <w:sz w:val="22"/>
          <w:szCs w:val="22"/>
        </w:rPr>
      </w:pPr>
    </w:p>
    <w:p w:rsidR="00117694" w:rsidRPr="00117694" w:rsidRDefault="00117694" w:rsidP="00117694">
      <w:pPr>
        <w:jc w:val="both"/>
        <w:rPr>
          <w:rFonts w:ascii="Unit-Regular" w:hAnsi="Unit-Regular"/>
          <w:sz w:val="22"/>
          <w:szCs w:val="18"/>
        </w:rPr>
      </w:pPr>
      <w:r w:rsidRPr="00117694">
        <w:rPr>
          <w:rFonts w:ascii="Unit-Regular" w:hAnsi="Unit-Regular"/>
          <w:sz w:val="22"/>
          <w:szCs w:val="18"/>
        </w:rPr>
        <w:t xml:space="preserve">Von der Beratung und Beschlussfassung war kein Mitglied des </w:t>
      </w:r>
      <w:r w:rsidR="00374152">
        <w:rPr>
          <w:rFonts w:ascii="Unit-Regular" w:hAnsi="Unit-Regular"/>
          <w:sz w:val="22"/>
          <w:szCs w:val="18"/>
        </w:rPr>
        <w:t>Stadtrates</w:t>
      </w:r>
      <w:r w:rsidRPr="00117694">
        <w:rPr>
          <w:rFonts w:ascii="Unit-Regular" w:hAnsi="Unit-Regular"/>
          <w:sz w:val="22"/>
          <w:szCs w:val="18"/>
        </w:rPr>
        <w:t xml:space="preserve"> ausgeschlossen.</w:t>
      </w:r>
    </w:p>
    <w:p w:rsidR="00532445" w:rsidRDefault="00532445" w:rsidP="006B7368">
      <w:pPr>
        <w:rPr>
          <w:rFonts w:ascii="Unit-Regular" w:hAnsi="Unit-Regular"/>
          <w:sz w:val="18"/>
          <w:szCs w:val="18"/>
        </w:rPr>
      </w:pPr>
    </w:p>
    <w:p w:rsidR="00532445" w:rsidRPr="004A5171" w:rsidRDefault="00532445" w:rsidP="006B7368">
      <w:pPr>
        <w:rPr>
          <w:rFonts w:ascii="Unit-Regular" w:hAnsi="Unit-Regular"/>
          <w:sz w:val="18"/>
          <w:szCs w:val="18"/>
        </w:rPr>
      </w:pPr>
    </w:p>
    <w:p w:rsidR="00A97819" w:rsidRPr="007B3212" w:rsidRDefault="00A97819" w:rsidP="00A97819">
      <w:pPr>
        <w:pStyle w:val="Textkrper"/>
        <w:rPr>
          <w:rFonts w:ascii="Unit-Regular" w:hAnsi="Unit-Regular"/>
          <w:b/>
        </w:rPr>
      </w:pPr>
      <w:r w:rsidRPr="007B3212">
        <w:rPr>
          <w:rFonts w:ascii="Unit-Regular" w:hAnsi="Unit-Regular"/>
          <w:b/>
        </w:rPr>
        <w:t>Abstimmungsergebnis:</w:t>
      </w:r>
    </w:p>
    <w:tbl>
      <w:tblPr>
        <w:tblStyle w:val="Tabellenraster"/>
        <w:tblW w:w="9067" w:type="dxa"/>
        <w:tblLook w:val="04A0" w:firstRow="1" w:lastRow="0" w:firstColumn="1" w:lastColumn="0" w:noHBand="0" w:noVBand="1"/>
      </w:tblPr>
      <w:tblGrid>
        <w:gridCol w:w="3871"/>
        <w:gridCol w:w="660"/>
        <w:gridCol w:w="3828"/>
        <w:gridCol w:w="708"/>
      </w:tblGrid>
      <w:tr w:rsidR="00A97819" w:rsidRPr="007B3212" w:rsidTr="00117694">
        <w:trPr>
          <w:trHeight w:val="454"/>
        </w:trPr>
        <w:tc>
          <w:tcPr>
            <w:tcW w:w="3871" w:type="dxa"/>
            <w:tcBorders>
              <w:top w:val="single" w:sz="4" w:space="0" w:color="auto"/>
              <w:left w:val="single" w:sz="4" w:space="0" w:color="auto"/>
              <w:bottom w:val="thinThickSmallGap" w:sz="18" w:space="0" w:color="auto"/>
              <w:right w:val="single" w:sz="4" w:space="0" w:color="auto"/>
            </w:tcBorders>
            <w:vAlign w:val="center"/>
            <w:hideMark/>
          </w:tcPr>
          <w:p w:rsidR="00A97819" w:rsidRPr="007B3212" w:rsidRDefault="00AF33B5" w:rsidP="007B3212">
            <w:pPr>
              <w:ind w:left="0" w:firstLine="0"/>
              <w:rPr>
                <w:rFonts w:ascii="Unit-Regular" w:hAnsi="Unit-Regular"/>
                <w:b/>
                <w:sz w:val="22"/>
                <w:szCs w:val="24"/>
                <w:lang w:eastAsia="en-US"/>
              </w:rPr>
            </w:pPr>
            <w:r>
              <w:rPr>
                <w:rFonts w:ascii="Unit-Regular" w:hAnsi="Unit-Regular"/>
                <w:sz w:val="22"/>
                <w:szCs w:val="24"/>
                <w:lang w:eastAsia="en-US"/>
              </w:rPr>
              <w:t>Mitglieder Stadtrat</w:t>
            </w:r>
          </w:p>
        </w:tc>
        <w:tc>
          <w:tcPr>
            <w:tcW w:w="660" w:type="dxa"/>
            <w:tcBorders>
              <w:top w:val="single" w:sz="4" w:space="0" w:color="auto"/>
              <w:left w:val="single" w:sz="4" w:space="0" w:color="auto"/>
              <w:bottom w:val="thinThickSmallGap" w:sz="18" w:space="0" w:color="auto"/>
              <w:right w:val="single" w:sz="4" w:space="0" w:color="auto"/>
            </w:tcBorders>
            <w:vAlign w:val="center"/>
            <w:hideMark/>
          </w:tcPr>
          <w:p w:rsidR="00A97819" w:rsidRPr="007B3212" w:rsidRDefault="00AF33B5" w:rsidP="001564B2">
            <w:pPr>
              <w:ind w:left="0" w:firstLine="0"/>
              <w:jc w:val="center"/>
              <w:rPr>
                <w:rFonts w:ascii="Unit-Regular" w:hAnsi="Unit-Regular"/>
                <w:sz w:val="22"/>
                <w:szCs w:val="24"/>
                <w:lang w:eastAsia="en-US"/>
              </w:rPr>
            </w:pPr>
            <w:r>
              <w:rPr>
                <w:rFonts w:ascii="Unit-Regular" w:hAnsi="Unit-Regular"/>
                <w:sz w:val="22"/>
                <w:szCs w:val="24"/>
                <w:lang w:eastAsia="en-US"/>
              </w:rPr>
              <w:t>1</w:t>
            </w:r>
            <w:r w:rsidR="001564B2">
              <w:rPr>
                <w:rFonts w:ascii="Unit-Regular" w:hAnsi="Unit-Regular"/>
                <w:sz w:val="22"/>
                <w:szCs w:val="24"/>
                <w:lang w:eastAsia="en-US"/>
              </w:rPr>
              <w:t>5</w:t>
            </w:r>
          </w:p>
        </w:tc>
        <w:tc>
          <w:tcPr>
            <w:tcW w:w="3828" w:type="dxa"/>
            <w:tcBorders>
              <w:top w:val="single" w:sz="4" w:space="0" w:color="auto"/>
              <w:left w:val="single" w:sz="4" w:space="0" w:color="auto"/>
              <w:bottom w:val="thinThickSmallGap" w:sz="18" w:space="0" w:color="auto"/>
              <w:right w:val="single" w:sz="4" w:space="0" w:color="auto"/>
            </w:tcBorders>
            <w:vAlign w:val="center"/>
            <w:hideMark/>
          </w:tcPr>
          <w:p w:rsidR="00A97819" w:rsidRPr="007B3212" w:rsidRDefault="00A97819" w:rsidP="007B3212">
            <w:pPr>
              <w:ind w:left="0" w:firstLine="0"/>
              <w:rPr>
                <w:rFonts w:ascii="Unit-Regular" w:hAnsi="Unit-Regular"/>
                <w:sz w:val="22"/>
                <w:szCs w:val="24"/>
                <w:lang w:eastAsia="en-US"/>
              </w:rPr>
            </w:pPr>
            <w:r w:rsidRPr="007B3212">
              <w:rPr>
                <w:rFonts w:ascii="Unit-Regular" w:hAnsi="Unit-Regular"/>
                <w:sz w:val="22"/>
                <w:szCs w:val="24"/>
                <w:lang w:eastAsia="en-US"/>
              </w:rPr>
              <w:t>davon anwesend</w:t>
            </w:r>
          </w:p>
        </w:tc>
        <w:tc>
          <w:tcPr>
            <w:tcW w:w="708" w:type="dxa"/>
            <w:tcBorders>
              <w:top w:val="single" w:sz="4" w:space="0" w:color="auto"/>
              <w:left w:val="single" w:sz="4" w:space="0" w:color="auto"/>
              <w:bottom w:val="thinThickSmallGap" w:sz="18" w:space="0" w:color="auto"/>
              <w:right w:val="single" w:sz="4" w:space="0" w:color="auto"/>
            </w:tcBorders>
            <w:vAlign w:val="center"/>
          </w:tcPr>
          <w:p w:rsidR="00A97819" w:rsidRPr="007B3212" w:rsidRDefault="00AF33B5" w:rsidP="00117694">
            <w:pPr>
              <w:jc w:val="center"/>
              <w:rPr>
                <w:rFonts w:ascii="Unit-Regular" w:hAnsi="Unit-Regular"/>
                <w:sz w:val="22"/>
                <w:szCs w:val="24"/>
                <w:lang w:eastAsia="en-US"/>
              </w:rPr>
            </w:pPr>
            <w:r>
              <w:rPr>
                <w:rFonts w:ascii="Unit-Regular" w:hAnsi="Unit-Regular"/>
                <w:sz w:val="22"/>
                <w:szCs w:val="24"/>
                <w:lang w:eastAsia="en-US"/>
              </w:rPr>
              <w:t xml:space="preserve">   </w:t>
            </w:r>
          </w:p>
        </w:tc>
      </w:tr>
      <w:tr w:rsidR="00A97819" w:rsidRPr="007B3212" w:rsidTr="00117694">
        <w:trPr>
          <w:trHeight w:val="454"/>
        </w:trPr>
        <w:tc>
          <w:tcPr>
            <w:tcW w:w="3871" w:type="dxa"/>
            <w:tcBorders>
              <w:top w:val="thinThickSmallGap" w:sz="18" w:space="0" w:color="auto"/>
              <w:left w:val="single" w:sz="4" w:space="0" w:color="auto"/>
              <w:bottom w:val="single" w:sz="4" w:space="0" w:color="auto"/>
              <w:right w:val="single" w:sz="4" w:space="0" w:color="auto"/>
            </w:tcBorders>
            <w:vAlign w:val="center"/>
            <w:hideMark/>
          </w:tcPr>
          <w:p w:rsidR="00A97819" w:rsidRPr="007B3212" w:rsidRDefault="007E17BC" w:rsidP="007B3212">
            <w:pPr>
              <w:ind w:left="0" w:firstLine="22"/>
              <w:rPr>
                <w:rFonts w:ascii="Unit-Regular" w:hAnsi="Unit-Regular"/>
                <w:sz w:val="22"/>
                <w:szCs w:val="24"/>
                <w:lang w:eastAsia="en-US"/>
              </w:rPr>
            </w:pPr>
            <w:r>
              <w:rPr>
                <w:rFonts w:ascii="Unit-Regular" w:hAnsi="Unit-Regular"/>
                <w:sz w:val="22"/>
                <w:szCs w:val="24"/>
                <w:lang w:eastAsia="en-US"/>
              </w:rPr>
              <w:t>Ja-</w:t>
            </w:r>
            <w:r w:rsidR="00A97819" w:rsidRPr="007B3212">
              <w:rPr>
                <w:rFonts w:ascii="Unit-Regular" w:hAnsi="Unit-Regular"/>
                <w:sz w:val="22"/>
                <w:szCs w:val="24"/>
                <w:lang w:eastAsia="en-US"/>
              </w:rPr>
              <w:t>Stimmen</w:t>
            </w:r>
          </w:p>
        </w:tc>
        <w:tc>
          <w:tcPr>
            <w:tcW w:w="660" w:type="dxa"/>
            <w:tcBorders>
              <w:top w:val="thinThickSmallGap" w:sz="18" w:space="0" w:color="auto"/>
              <w:left w:val="single" w:sz="4" w:space="0" w:color="auto"/>
              <w:bottom w:val="single" w:sz="4" w:space="0" w:color="auto"/>
              <w:right w:val="single" w:sz="8" w:space="0" w:color="auto"/>
            </w:tcBorders>
            <w:vAlign w:val="center"/>
          </w:tcPr>
          <w:p w:rsidR="00A97819" w:rsidRPr="007B3212" w:rsidRDefault="00A97819" w:rsidP="007B3212">
            <w:pPr>
              <w:ind w:left="0" w:firstLine="0"/>
              <w:jc w:val="center"/>
              <w:rPr>
                <w:rFonts w:ascii="Unit-Regular" w:hAnsi="Unit-Regular"/>
                <w:sz w:val="22"/>
                <w:szCs w:val="24"/>
                <w:lang w:eastAsia="en-US"/>
              </w:rPr>
            </w:pPr>
          </w:p>
        </w:tc>
        <w:tc>
          <w:tcPr>
            <w:tcW w:w="3828" w:type="dxa"/>
            <w:tcBorders>
              <w:top w:val="thinThickSmallGap" w:sz="18" w:space="0" w:color="auto"/>
              <w:left w:val="single" w:sz="8" w:space="0" w:color="auto"/>
              <w:bottom w:val="single" w:sz="4" w:space="0" w:color="auto"/>
              <w:right w:val="single" w:sz="4" w:space="0" w:color="auto"/>
            </w:tcBorders>
            <w:vAlign w:val="center"/>
            <w:hideMark/>
          </w:tcPr>
          <w:p w:rsidR="00A97819" w:rsidRPr="007B3212" w:rsidRDefault="00A97819" w:rsidP="007B3212">
            <w:pPr>
              <w:ind w:left="0" w:firstLine="0"/>
              <w:rPr>
                <w:rFonts w:ascii="Unit-Regular" w:hAnsi="Unit-Regular"/>
                <w:sz w:val="22"/>
                <w:szCs w:val="24"/>
                <w:lang w:eastAsia="en-US"/>
              </w:rPr>
            </w:pPr>
            <w:r w:rsidRPr="007B3212">
              <w:rPr>
                <w:rFonts w:ascii="Unit-Regular" w:hAnsi="Unit-Regular"/>
                <w:sz w:val="22"/>
                <w:szCs w:val="24"/>
                <w:lang w:eastAsia="en-US"/>
              </w:rPr>
              <w:t>Nein-Stimmen</w:t>
            </w:r>
          </w:p>
        </w:tc>
        <w:tc>
          <w:tcPr>
            <w:tcW w:w="708" w:type="dxa"/>
            <w:tcBorders>
              <w:top w:val="thinThickSmallGap" w:sz="18" w:space="0" w:color="auto"/>
              <w:left w:val="single" w:sz="4" w:space="0" w:color="auto"/>
              <w:bottom w:val="single" w:sz="4" w:space="0" w:color="auto"/>
              <w:right w:val="single" w:sz="4" w:space="0" w:color="auto"/>
            </w:tcBorders>
            <w:vAlign w:val="center"/>
          </w:tcPr>
          <w:p w:rsidR="00A97819" w:rsidRPr="007B3212" w:rsidRDefault="00AF33B5" w:rsidP="00117694">
            <w:pPr>
              <w:jc w:val="center"/>
              <w:rPr>
                <w:rFonts w:ascii="Unit-Regular" w:hAnsi="Unit-Regular"/>
                <w:sz w:val="22"/>
                <w:szCs w:val="24"/>
                <w:lang w:eastAsia="en-US"/>
              </w:rPr>
            </w:pPr>
            <w:r>
              <w:rPr>
                <w:rFonts w:ascii="Unit-Regular" w:hAnsi="Unit-Regular"/>
                <w:sz w:val="22"/>
                <w:szCs w:val="24"/>
                <w:lang w:eastAsia="en-US"/>
              </w:rPr>
              <w:t xml:space="preserve">   </w:t>
            </w:r>
          </w:p>
        </w:tc>
      </w:tr>
      <w:tr w:rsidR="00A97819" w:rsidRPr="007B3212" w:rsidTr="00117694">
        <w:trPr>
          <w:trHeight w:val="454"/>
        </w:trPr>
        <w:tc>
          <w:tcPr>
            <w:tcW w:w="3871" w:type="dxa"/>
            <w:tcBorders>
              <w:top w:val="single" w:sz="4" w:space="0" w:color="auto"/>
              <w:left w:val="single" w:sz="4" w:space="0" w:color="auto"/>
              <w:bottom w:val="double" w:sz="4" w:space="0" w:color="auto"/>
              <w:right w:val="single" w:sz="4" w:space="0" w:color="auto"/>
            </w:tcBorders>
            <w:vAlign w:val="center"/>
            <w:hideMark/>
          </w:tcPr>
          <w:p w:rsidR="00A97819" w:rsidRPr="007B3212" w:rsidRDefault="00A97819" w:rsidP="007B3212">
            <w:pPr>
              <w:ind w:left="0" w:firstLine="22"/>
              <w:rPr>
                <w:rFonts w:ascii="Unit-Regular" w:hAnsi="Unit-Regular"/>
                <w:sz w:val="22"/>
                <w:szCs w:val="24"/>
                <w:lang w:eastAsia="en-US"/>
              </w:rPr>
            </w:pPr>
            <w:r w:rsidRPr="007B3212">
              <w:rPr>
                <w:rFonts w:ascii="Unit-Regular" w:hAnsi="Unit-Regular"/>
                <w:sz w:val="22"/>
                <w:szCs w:val="24"/>
                <w:lang w:eastAsia="en-US"/>
              </w:rPr>
              <w:t>Stimmenthaltungen</w:t>
            </w:r>
          </w:p>
        </w:tc>
        <w:tc>
          <w:tcPr>
            <w:tcW w:w="660" w:type="dxa"/>
            <w:tcBorders>
              <w:top w:val="single" w:sz="4" w:space="0" w:color="auto"/>
              <w:left w:val="single" w:sz="4" w:space="0" w:color="auto"/>
              <w:bottom w:val="double" w:sz="4" w:space="0" w:color="auto"/>
              <w:right w:val="single" w:sz="8" w:space="0" w:color="auto"/>
            </w:tcBorders>
            <w:vAlign w:val="center"/>
          </w:tcPr>
          <w:p w:rsidR="00A97819" w:rsidRPr="007B3212" w:rsidRDefault="00A97819" w:rsidP="007B3212">
            <w:pPr>
              <w:ind w:left="0" w:firstLine="0"/>
              <w:jc w:val="center"/>
              <w:rPr>
                <w:rFonts w:ascii="Unit-Regular" w:hAnsi="Unit-Regular"/>
                <w:sz w:val="22"/>
                <w:szCs w:val="24"/>
                <w:lang w:eastAsia="en-US"/>
              </w:rPr>
            </w:pPr>
          </w:p>
        </w:tc>
        <w:tc>
          <w:tcPr>
            <w:tcW w:w="3828" w:type="dxa"/>
            <w:tcBorders>
              <w:top w:val="single" w:sz="4" w:space="0" w:color="auto"/>
              <w:left w:val="single" w:sz="8" w:space="0" w:color="auto"/>
              <w:bottom w:val="double" w:sz="4" w:space="0" w:color="auto"/>
              <w:right w:val="single" w:sz="4" w:space="0" w:color="auto"/>
            </w:tcBorders>
            <w:vAlign w:val="center"/>
          </w:tcPr>
          <w:p w:rsidR="00A97819" w:rsidRPr="007B3212" w:rsidRDefault="00A97819" w:rsidP="007B3212">
            <w:pPr>
              <w:ind w:left="0" w:firstLine="0"/>
              <w:rPr>
                <w:rFonts w:ascii="Unit-Regular" w:hAnsi="Unit-Regular"/>
                <w:sz w:val="22"/>
                <w:szCs w:val="24"/>
                <w:lang w:eastAsia="en-US"/>
              </w:rPr>
            </w:pPr>
          </w:p>
        </w:tc>
        <w:tc>
          <w:tcPr>
            <w:tcW w:w="708" w:type="dxa"/>
            <w:tcBorders>
              <w:top w:val="single" w:sz="4" w:space="0" w:color="auto"/>
              <w:left w:val="single" w:sz="4" w:space="0" w:color="auto"/>
              <w:bottom w:val="double" w:sz="4" w:space="0" w:color="auto"/>
              <w:right w:val="single" w:sz="4" w:space="0" w:color="auto"/>
            </w:tcBorders>
            <w:vAlign w:val="center"/>
          </w:tcPr>
          <w:p w:rsidR="00A97819" w:rsidRPr="007B3212" w:rsidRDefault="00A97819" w:rsidP="00117694">
            <w:pPr>
              <w:jc w:val="center"/>
              <w:rPr>
                <w:rFonts w:ascii="Unit-Regular" w:hAnsi="Unit-Regular"/>
                <w:sz w:val="22"/>
                <w:szCs w:val="24"/>
                <w:lang w:eastAsia="en-US"/>
              </w:rPr>
            </w:pPr>
          </w:p>
        </w:tc>
      </w:tr>
      <w:tr w:rsidR="00A97819" w:rsidRPr="007B3212" w:rsidTr="00117694">
        <w:trPr>
          <w:trHeight w:val="454"/>
        </w:trPr>
        <w:tc>
          <w:tcPr>
            <w:tcW w:w="3871" w:type="dxa"/>
            <w:tcBorders>
              <w:top w:val="double" w:sz="4" w:space="0" w:color="auto"/>
              <w:left w:val="single" w:sz="4" w:space="0" w:color="auto"/>
              <w:bottom w:val="single" w:sz="4" w:space="0" w:color="auto"/>
              <w:right w:val="single" w:sz="4" w:space="0" w:color="auto"/>
            </w:tcBorders>
            <w:vAlign w:val="center"/>
            <w:hideMark/>
          </w:tcPr>
          <w:p w:rsidR="00A97819" w:rsidRPr="007B3212" w:rsidRDefault="00A97819" w:rsidP="007B3212">
            <w:pPr>
              <w:ind w:left="0" w:firstLine="22"/>
              <w:rPr>
                <w:rFonts w:ascii="Unit-Regular" w:hAnsi="Unit-Regular"/>
                <w:b/>
                <w:sz w:val="22"/>
                <w:szCs w:val="24"/>
                <w:lang w:eastAsia="en-US"/>
              </w:rPr>
            </w:pPr>
            <w:r w:rsidRPr="007B3212">
              <w:rPr>
                <w:rFonts w:ascii="Unit-Regular" w:hAnsi="Unit-Regular"/>
                <w:b/>
                <w:sz w:val="22"/>
                <w:szCs w:val="24"/>
                <w:lang w:eastAsia="en-US"/>
              </w:rPr>
              <w:t>beschlossen</w:t>
            </w:r>
          </w:p>
        </w:tc>
        <w:tc>
          <w:tcPr>
            <w:tcW w:w="660" w:type="dxa"/>
            <w:tcBorders>
              <w:top w:val="double" w:sz="4" w:space="0" w:color="auto"/>
              <w:left w:val="single" w:sz="4" w:space="0" w:color="auto"/>
              <w:bottom w:val="single" w:sz="4" w:space="0" w:color="auto"/>
              <w:right w:val="single" w:sz="4" w:space="0" w:color="auto"/>
            </w:tcBorders>
            <w:vAlign w:val="center"/>
          </w:tcPr>
          <w:p w:rsidR="00A97819" w:rsidRPr="007B3212" w:rsidRDefault="00A97819" w:rsidP="007B3212">
            <w:pPr>
              <w:ind w:left="0" w:firstLine="0"/>
              <w:jc w:val="center"/>
              <w:rPr>
                <w:rFonts w:ascii="Unit-Regular" w:hAnsi="Unit-Regular"/>
                <w:b/>
                <w:sz w:val="22"/>
                <w:szCs w:val="24"/>
                <w:lang w:eastAsia="en-US"/>
              </w:rPr>
            </w:pPr>
          </w:p>
        </w:tc>
        <w:tc>
          <w:tcPr>
            <w:tcW w:w="3828" w:type="dxa"/>
            <w:tcBorders>
              <w:top w:val="double" w:sz="4" w:space="0" w:color="auto"/>
              <w:left w:val="single" w:sz="4" w:space="0" w:color="auto"/>
              <w:bottom w:val="single" w:sz="4" w:space="0" w:color="auto"/>
              <w:right w:val="single" w:sz="4" w:space="0" w:color="auto"/>
            </w:tcBorders>
            <w:vAlign w:val="center"/>
            <w:hideMark/>
          </w:tcPr>
          <w:p w:rsidR="00A97819" w:rsidRPr="007B3212" w:rsidRDefault="00A97819" w:rsidP="007B3212">
            <w:pPr>
              <w:ind w:left="0" w:firstLine="0"/>
              <w:rPr>
                <w:rFonts w:ascii="Unit-Regular" w:hAnsi="Unit-Regular"/>
                <w:b/>
                <w:sz w:val="22"/>
                <w:szCs w:val="24"/>
                <w:lang w:eastAsia="en-US"/>
              </w:rPr>
            </w:pPr>
            <w:r w:rsidRPr="007B3212">
              <w:rPr>
                <w:rFonts w:ascii="Unit-Regular" w:hAnsi="Unit-Regular"/>
                <w:b/>
                <w:sz w:val="22"/>
                <w:szCs w:val="24"/>
                <w:lang w:eastAsia="en-US"/>
              </w:rPr>
              <w:t>nicht beschlossen</w:t>
            </w:r>
          </w:p>
        </w:tc>
        <w:tc>
          <w:tcPr>
            <w:tcW w:w="708" w:type="dxa"/>
            <w:tcBorders>
              <w:top w:val="double" w:sz="4" w:space="0" w:color="auto"/>
              <w:left w:val="single" w:sz="4" w:space="0" w:color="auto"/>
              <w:bottom w:val="single" w:sz="4" w:space="0" w:color="auto"/>
              <w:right w:val="single" w:sz="4" w:space="0" w:color="auto"/>
            </w:tcBorders>
            <w:vAlign w:val="center"/>
          </w:tcPr>
          <w:p w:rsidR="00A97819" w:rsidRPr="007B3212" w:rsidRDefault="00A97819" w:rsidP="00117694">
            <w:pPr>
              <w:jc w:val="center"/>
              <w:rPr>
                <w:rFonts w:ascii="Unit-Regular" w:hAnsi="Unit-Regular"/>
                <w:b/>
                <w:sz w:val="22"/>
                <w:szCs w:val="24"/>
                <w:lang w:eastAsia="en-US"/>
              </w:rPr>
            </w:pPr>
          </w:p>
        </w:tc>
      </w:tr>
    </w:tbl>
    <w:p w:rsidR="00DB3E0E" w:rsidRDefault="00DB3E0E" w:rsidP="00DB3E0E">
      <w:pPr>
        <w:widowControl w:val="0"/>
        <w:rPr>
          <w:rFonts w:ascii="Arial" w:hAnsi="Arial" w:cs="Arial"/>
          <w:snapToGrid w:val="0"/>
        </w:rPr>
      </w:pPr>
    </w:p>
    <w:sectPr w:rsidR="00DB3E0E" w:rsidSect="008B7D1C">
      <w:pgSz w:w="11906" w:h="16838"/>
      <w:pgMar w:top="993"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nit-Regular">
    <w:panose1 w:val="02000506040000020004"/>
    <w:charset w:val="00"/>
    <w:family w:val="auto"/>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C2B59"/>
    <w:multiLevelType w:val="hybridMultilevel"/>
    <w:tmpl w:val="047A2026"/>
    <w:lvl w:ilvl="0" w:tplc="FE66286C">
      <w:numFmt w:val="bullet"/>
      <w:lvlText w:val="-"/>
      <w:lvlJc w:val="left"/>
      <w:pPr>
        <w:ind w:left="1769" w:hanging="360"/>
      </w:pPr>
      <w:rPr>
        <w:rFonts w:ascii="Calibri" w:eastAsia="Calibri" w:hAnsi="Calibri" w:cs="Times New Roman" w:hint="default"/>
      </w:rPr>
    </w:lvl>
    <w:lvl w:ilvl="1" w:tplc="04070003" w:tentative="1">
      <w:start w:val="1"/>
      <w:numFmt w:val="bullet"/>
      <w:lvlText w:val="o"/>
      <w:lvlJc w:val="left"/>
      <w:pPr>
        <w:ind w:left="2489" w:hanging="360"/>
      </w:pPr>
      <w:rPr>
        <w:rFonts w:ascii="Courier New" w:hAnsi="Courier New" w:cs="Courier New" w:hint="default"/>
      </w:rPr>
    </w:lvl>
    <w:lvl w:ilvl="2" w:tplc="04070005" w:tentative="1">
      <w:start w:val="1"/>
      <w:numFmt w:val="bullet"/>
      <w:lvlText w:val=""/>
      <w:lvlJc w:val="left"/>
      <w:pPr>
        <w:ind w:left="3209" w:hanging="360"/>
      </w:pPr>
      <w:rPr>
        <w:rFonts w:ascii="Wingdings" w:hAnsi="Wingdings" w:hint="default"/>
      </w:rPr>
    </w:lvl>
    <w:lvl w:ilvl="3" w:tplc="04070001" w:tentative="1">
      <w:start w:val="1"/>
      <w:numFmt w:val="bullet"/>
      <w:lvlText w:val=""/>
      <w:lvlJc w:val="left"/>
      <w:pPr>
        <w:ind w:left="3929" w:hanging="360"/>
      </w:pPr>
      <w:rPr>
        <w:rFonts w:ascii="Symbol" w:hAnsi="Symbol" w:hint="default"/>
      </w:rPr>
    </w:lvl>
    <w:lvl w:ilvl="4" w:tplc="04070003" w:tentative="1">
      <w:start w:val="1"/>
      <w:numFmt w:val="bullet"/>
      <w:lvlText w:val="o"/>
      <w:lvlJc w:val="left"/>
      <w:pPr>
        <w:ind w:left="4649" w:hanging="360"/>
      </w:pPr>
      <w:rPr>
        <w:rFonts w:ascii="Courier New" w:hAnsi="Courier New" w:cs="Courier New" w:hint="default"/>
      </w:rPr>
    </w:lvl>
    <w:lvl w:ilvl="5" w:tplc="04070005" w:tentative="1">
      <w:start w:val="1"/>
      <w:numFmt w:val="bullet"/>
      <w:lvlText w:val=""/>
      <w:lvlJc w:val="left"/>
      <w:pPr>
        <w:ind w:left="5369" w:hanging="360"/>
      </w:pPr>
      <w:rPr>
        <w:rFonts w:ascii="Wingdings" w:hAnsi="Wingdings" w:hint="default"/>
      </w:rPr>
    </w:lvl>
    <w:lvl w:ilvl="6" w:tplc="04070001" w:tentative="1">
      <w:start w:val="1"/>
      <w:numFmt w:val="bullet"/>
      <w:lvlText w:val=""/>
      <w:lvlJc w:val="left"/>
      <w:pPr>
        <w:ind w:left="6089" w:hanging="360"/>
      </w:pPr>
      <w:rPr>
        <w:rFonts w:ascii="Symbol" w:hAnsi="Symbol" w:hint="default"/>
      </w:rPr>
    </w:lvl>
    <w:lvl w:ilvl="7" w:tplc="04070003" w:tentative="1">
      <w:start w:val="1"/>
      <w:numFmt w:val="bullet"/>
      <w:lvlText w:val="o"/>
      <w:lvlJc w:val="left"/>
      <w:pPr>
        <w:ind w:left="6809" w:hanging="360"/>
      </w:pPr>
      <w:rPr>
        <w:rFonts w:ascii="Courier New" w:hAnsi="Courier New" w:cs="Courier New" w:hint="default"/>
      </w:rPr>
    </w:lvl>
    <w:lvl w:ilvl="8" w:tplc="04070005" w:tentative="1">
      <w:start w:val="1"/>
      <w:numFmt w:val="bullet"/>
      <w:lvlText w:val=""/>
      <w:lvlJc w:val="left"/>
      <w:pPr>
        <w:ind w:left="75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01"/>
    <w:rsid w:val="00072757"/>
    <w:rsid w:val="000E596A"/>
    <w:rsid w:val="00117694"/>
    <w:rsid w:val="00155292"/>
    <w:rsid w:val="001564B2"/>
    <w:rsid w:val="001F0633"/>
    <w:rsid w:val="002825A7"/>
    <w:rsid w:val="00365055"/>
    <w:rsid w:val="00374152"/>
    <w:rsid w:val="00381E09"/>
    <w:rsid w:val="004A5171"/>
    <w:rsid w:val="004C09B6"/>
    <w:rsid w:val="0051737D"/>
    <w:rsid w:val="00532445"/>
    <w:rsid w:val="00565440"/>
    <w:rsid w:val="005C2F18"/>
    <w:rsid w:val="00677F45"/>
    <w:rsid w:val="006A2473"/>
    <w:rsid w:val="006B18BD"/>
    <w:rsid w:val="006B7368"/>
    <w:rsid w:val="006D274B"/>
    <w:rsid w:val="006E23B4"/>
    <w:rsid w:val="0077415C"/>
    <w:rsid w:val="007A33D8"/>
    <w:rsid w:val="007B3212"/>
    <w:rsid w:val="007E17BC"/>
    <w:rsid w:val="00836FE9"/>
    <w:rsid w:val="008B7D1C"/>
    <w:rsid w:val="009718A7"/>
    <w:rsid w:val="009D005F"/>
    <w:rsid w:val="00A514EC"/>
    <w:rsid w:val="00A97819"/>
    <w:rsid w:val="00AF33B5"/>
    <w:rsid w:val="00B933C0"/>
    <w:rsid w:val="00BA3E20"/>
    <w:rsid w:val="00CB762B"/>
    <w:rsid w:val="00D77DBC"/>
    <w:rsid w:val="00DB3E0E"/>
    <w:rsid w:val="00DD5101"/>
    <w:rsid w:val="00FE3B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D797"/>
  <w15:chartTrackingRefBased/>
  <w15:docId w15:val="{1974C839-66BA-45D0-B4A0-A6749E14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D5101"/>
    <w:pPr>
      <w:spacing w:after="0" w:line="240" w:lineRule="auto"/>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qFormat/>
    <w:rsid w:val="00DD5101"/>
    <w:pPr>
      <w:keepNext/>
      <w:outlineLvl w:val="0"/>
    </w:pPr>
    <w:rPr>
      <w:b/>
    </w:rPr>
  </w:style>
  <w:style w:type="paragraph" w:styleId="berschrift7">
    <w:name w:val="heading 7"/>
    <w:basedOn w:val="Standard"/>
    <w:next w:val="Standard"/>
    <w:link w:val="berschrift7Zchn"/>
    <w:uiPriority w:val="9"/>
    <w:semiHidden/>
    <w:unhideWhenUsed/>
    <w:qFormat/>
    <w:rsid w:val="00DD5101"/>
    <w:pPr>
      <w:spacing w:before="240" w:after="60"/>
      <w:outlineLvl w:val="6"/>
    </w:pPr>
    <w:rPr>
      <w:rFonts w:ascii="Calibri" w:hAnsi="Calibr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5101"/>
    <w:rPr>
      <w:rFonts w:ascii="Times New Roman" w:eastAsia="Times New Roman" w:hAnsi="Times New Roman" w:cs="Times New Roman"/>
      <w:b/>
      <w:sz w:val="24"/>
      <w:szCs w:val="20"/>
      <w:lang w:eastAsia="de-DE"/>
    </w:rPr>
  </w:style>
  <w:style w:type="character" w:customStyle="1" w:styleId="berschrift7Zchn">
    <w:name w:val="Überschrift 7 Zchn"/>
    <w:basedOn w:val="Absatz-Standardschriftart"/>
    <w:link w:val="berschrift7"/>
    <w:uiPriority w:val="9"/>
    <w:semiHidden/>
    <w:rsid w:val="00DD5101"/>
    <w:rPr>
      <w:rFonts w:ascii="Calibri" w:eastAsia="Times New Roman" w:hAnsi="Calibri" w:cs="Times New Roman"/>
      <w:sz w:val="24"/>
      <w:szCs w:val="24"/>
      <w:lang w:eastAsia="de-DE"/>
    </w:rPr>
  </w:style>
  <w:style w:type="paragraph" w:styleId="Textkrper">
    <w:name w:val="Body Text"/>
    <w:basedOn w:val="Standard"/>
    <w:link w:val="TextkrperZchn"/>
    <w:uiPriority w:val="99"/>
    <w:semiHidden/>
    <w:unhideWhenUsed/>
    <w:rsid w:val="00DD5101"/>
    <w:pPr>
      <w:spacing w:after="120"/>
    </w:pPr>
    <w:rPr>
      <w:szCs w:val="24"/>
    </w:rPr>
  </w:style>
  <w:style w:type="character" w:customStyle="1" w:styleId="TextkrperZchn">
    <w:name w:val="Textkörper Zchn"/>
    <w:basedOn w:val="Absatz-Standardschriftart"/>
    <w:link w:val="Textkrper"/>
    <w:uiPriority w:val="99"/>
    <w:semiHidden/>
    <w:rsid w:val="00DD5101"/>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DD5101"/>
    <w:pPr>
      <w:ind w:left="720"/>
      <w:contextualSpacing/>
    </w:pPr>
  </w:style>
  <w:style w:type="table" w:styleId="Tabellenraster">
    <w:name w:val="Table Grid"/>
    <w:basedOn w:val="NormaleTabelle"/>
    <w:uiPriority w:val="59"/>
    <w:rsid w:val="00072757"/>
    <w:pPr>
      <w:spacing w:after="0" w:line="240" w:lineRule="auto"/>
      <w:ind w:left="142" w:hanging="357"/>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1F063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0633"/>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77056">
      <w:bodyDiv w:val="1"/>
      <w:marLeft w:val="0"/>
      <w:marRight w:val="0"/>
      <w:marTop w:val="0"/>
      <w:marBottom w:val="0"/>
      <w:divBdr>
        <w:top w:val="none" w:sz="0" w:space="0" w:color="auto"/>
        <w:left w:val="none" w:sz="0" w:space="0" w:color="auto"/>
        <w:bottom w:val="none" w:sz="0" w:space="0" w:color="auto"/>
        <w:right w:val="none" w:sz="0" w:space="0" w:color="auto"/>
      </w:divBdr>
    </w:div>
    <w:div w:id="1497459011">
      <w:bodyDiv w:val="1"/>
      <w:marLeft w:val="0"/>
      <w:marRight w:val="0"/>
      <w:marTop w:val="0"/>
      <w:marBottom w:val="0"/>
      <w:divBdr>
        <w:top w:val="none" w:sz="0" w:space="0" w:color="auto"/>
        <w:left w:val="none" w:sz="0" w:space="0" w:color="auto"/>
        <w:bottom w:val="none" w:sz="0" w:space="0" w:color="auto"/>
        <w:right w:val="none" w:sz="0" w:space="0" w:color="auto"/>
      </w:divBdr>
    </w:div>
    <w:div w:id="1561674434">
      <w:bodyDiv w:val="1"/>
      <w:marLeft w:val="0"/>
      <w:marRight w:val="0"/>
      <w:marTop w:val="0"/>
      <w:marBottom w:val="0"/>
      <w:divBdr>
        <w:top w:val="none" w:sz="0" w:space="0" w:color="auto"/>
        <w:left w:val="none" w:sz="0" w:space="0" w:color="auto"/>
        <w:bottom w:val="none" w:sz="0" w:space="0" w:color="auto"/>
        <w:right w:val="none" w:sz="0" w:space="0" w:color="auto"/>
      </w:divBdr>
    </w:div>
    <w:div w:id="174753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1122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steiniger</dc:creator>
  <cp:keywords/>
  <dc:description/>
  <cp:lastModifiedBy>steiniger</cp:lastModifiedBy>
  <cp:revision>4</cp:revision>
  <cp:lastPrinted>2022-11-14T12:27:00Z</cp:lastPrinted>
  <dcterms:created xsi:type="dcterms:W3CDTF">2025-01-08T11:44:00Z</dcterms:created>
  <dcterms:modified xsi:type="dcterms:W3CDTF">2025-01-08T13:43:00Z</dcterms:modified>
</cp:coreProperties>
</file>