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694" w:rsidRDefault="00117694" w:rsidP="00072757">
      <w:pPr>
        <w:rPr>
          <w:rFonts w:ascii="Unit-Regular" w:hAnsi="Unit-Regular"/>
          <w:b/>
        </w:rPr>
      </w:pPr>
      <w:r>
        <w:rPr>
          <w:rFonts w:ascii="Unit-Regular" w:hAnsi="Unit-Regular"/>
          <w:b/>
        </w:rPr>
        <w:t>Stadt Regis-Breitingen</w:t>
      </w:r>
    </w:p>
    <w:p w:rsidR="00381E09" w:rsidRDefault="00381E09" w:rsidP="00072757">
      <w:pPr>
        <w:rPr>
          <w:rFonts w:ascii="Unit-Regular" w:hAnsi="Unit-Regular"/>
          <w:b/>
        </w:rPr>
      </w:pPr>
      <w:r>
        <w:rPr>
          <w:rFonts w:ascii="Unit-Regular" w:hAnsi="Unit-Regular"/>
          <w:b/>
        </w:rPr>
        <w:t>Der Bürgermeister</w:t>
      </w:r>
    </w:p>
    <w:p w:rsidR="00381E09" w:rsidRDefault="00381E09" w:rsidP="00072757">
      <w:pPr>
        <w:rPr>
          <w:rFonts w:ascii="Unit-Regular" w:hAnsi="Unit-Regular"/>
          <w:b/>
        </w:rPr>
      </w:pPr>
    </w:p>
    <w:p w:rsidR="00072757" w:rsidRDefault="00072757" w:rsidP="00072757">
      <w:pPr>
        <w:rPr>
          <w:rFonts w:ascii="Unit-Regular" w:hAnsi="Unit-Regular"/>
          <w:b/>
        </w:rPr>
      </w:pPr>
      <w:r w:rsidRPr="004A5171">
        <w:rPr>
          <w:rFonts w:ascii="Unit-Regular" w:hAnsi="Unit-Regular"/>
          <w:b/>
        </w:rPr>
        <w:t>Beschlussvorlage Nr.</w:t>
      </w:r>
      <w:r w:rsidR="007E17BC">
        <w:rPr>
          <w:rFonts w:ascii="Unit-Regular" w:hAnsi="Unit-Regular"/>
          <w:b/>
        </w:rPr>
        <w:t xml:space="preserve"> </w:t>
      </w:r>
      <w:r w:rsidR="00FE3B4E" w:rsidRPr="004A5171">
        <w:rPr>
          <w:rFonts w:ascii="Unit-Regular" w:hAnsi="Unit-Regular"/>
          <w:b/>
        </w:rPr>
        <w:t>0</w:t>
      </w:r>
      <w:r w:rsidR="00C415F6">
        <w:rPr>
          <w:rFonts w:ascii="Unit-Regular" w:hAnsi="Unit-Regular"/>
          <w:b/>
        </w:rPr>
        <w:t>1</w:t>
      </w:r>
      <w:r w:rsidR="00381E09">
        <w:rPr>
          <w:rFonts w:ascii="Unit-Regular" w:hAnsi="Unit-Regular"/>
          <w:b/>
        </w:rPr>
        <w:t>/</w:t>
      </w:r>
      <w:r w:rsidR="007A33D8">
        <w:rPr>
          <w:rFonts w:ascii="Unit-Regular" w:hAnsi="Unit-Regular"/>
          <w:b/>
        </w:rPr>
        <w:t>01</w:t>
      </w:r>
      <w:r w:rsidR="00FE3B4E" w:rsidRPr="004A5171">
        <w:rPr>
          <w:rFonts w:ascii="Unit-Regular" w:hAnsi="Unit-Regular"/>
          <w:b/>
        </w:rPr>
        <w:t>/202</w:t>
      </w:r>
      <w:r w:rsidR="007A33D8">
        <w:rPr>
          <w:rFonts w:ascii="Unit-Regular" w:hAnsi="Unit-Regular"/>
          <w:b/>
        </w:rPr>
        <w:t>5 S</w:t>
      </w:r>
    </w:p>
    <w:p w:rsidR="004A5171" w:rsidRDefault="004A5171" w:rsidP="00072757">
      <w:pPr>
        <w:rPr>
          <w:rFonts w:ascii="Unit-Regular" w:hAnsi="Unit-Regular"/>
          <w:b/>
        </w:rPr>
      </w:pPr>
    </w:p>
    <w:tbl>
      <w:tblPr>
        <w:tblStyle w:val="Tabellenraster"/>
        <w:tblW w:w="0" w:type="auto"/>
        <w:tblBorders>
          <w:insideV w:val="none" w:sz="0" w:space="0" w:color="auto"/>
        </w:tblBorders>
        <w:tblLook w:val="04A0" w:firstRow="1" w:lastRow="0" w:firstColumn="1" w:lastColumn="0" w:noHBand="0" w:noVBand="1"/>
      </w:tblPr>
      <w:tblGrid>
        <w:gridCol w:w="4531"/>
        <w:gridCol w:w="4531"/>
      </w:tblGrid>
      <w:tr w:rsidR="004A5171" w:rsidTr="00381E09">
        <w:trPr>
          <w:trHeight w:val="680"/>
        </w:trPr>
        <w:tc>
          <w:tcPr>
            <w:tcW w:w="4531" w:type="dxa"/>
            <w:tcBorders>
              <w:bottom w:val="single" w:sz="4" w:space="0" w:color="000000" w:themeColor="text1"/>
            </w:tcBorders>
          </w:tcPr>
          <w:p w:rsidR="004A5171" w:rsidRDefault="00381E09" w:rsidP="00381E09">
            <w:pPr>
              <w:ind w:left="-120" w:firstLine="22"/>
              <w:rPr>
                <w:rFonts w:ascii="Unit-Regular" w:hAnsi="Unit-Regular"/>
                <w:b/>
                <w:sz w:val="20"/>
              </w:rPr>
            </w:pPr>
            <w:r w:rsidRPr="00381E09">
              <w:rPr>
                <w:rFonts w:ascii="Unit-Regular" w:hAnsi="Unit-Regular"/>
                <w:b/>
                <w:sz w:val="20"/>
              </w:rPr>
              <w:t>Einreicher:</w:t>
            </w:r>
          </w:p>
          <w:p w:rsidR="00381E09" w:rsidRDefault="007A33D8" w:rsidP="00381E09">
            <w:pPr>
              <w:ind w:left="-120" w:firstLine="22"/>
              <w:rPr>
                <w:rFonts w:ascii="Unit-Regular" w:hAnsi="Unit-Regular"/>
                <w:b/>
              </w:rPr>
            </w:pPr>
            <w:r>
              <w:rPr>
                <w:rFonts w:ascii="Unit-Regular" w:hAnsi="Unit-Regular"/>
                <w:b/>
              </w:rPr>
              <w:t>Hauptverwaltung , Frau Steiniger</w:t>
            </w:r>
          </w:p>
        </w:tc>
        <w:tc>
          <w:tcPr>
            <w:tcW w:w="4531" w:type="dxa"/>
            <w:tcBorders>
              <w:bottom w:val="single" w:sz="4" w:space="0" w:color="000000" w:themeColor="text1"/>
            </w:tcBorders>
            <w:vAlign w:val="center"/>
          </w:tcPr>
          <w:p w:rsidR="004A5171" w:rsidRDefault="004A5171" w:rsidP="004A5171">
            <w:pPr>
              <w:ind w:left="0" w:firstLine="0"/>
              <w:jc w:val="right"/>
              <w:rPr>
                <w:rFonts w:ascii="Unit-Regular" w:hAnsi="Unit-Regular"/>
                <w:b/>
              </w:rPr>
            </w:pPr>
          </w:p>
        </w:tc>
      </w:tr>
      <w:tr w:rsidR="00381E09" w:rsidRPr="00381E09" w:rsidTr="00381E09">
        <w:trPr>
          <w:trHeight w:val="283"/>
        </w:trPr>
        <w:tc>
          <w:tcPr>
            <w:tcW w:w="4531" w:type="dxa"/>
            <w:tcBorders>
              <w:left w:val="nil"/>
            </w:tcBorders>
            <w:vAlign w:val="center"/>
          </w:tcPr>
          <w:p w:rsidR="00381E09" w:rsidRPr="00381E09" w:rsidRDefault="00381E09" w:rsidP="00381E09">
            <w:pPr>
              <w:ind w:left="-120" w:firstLine="22"/>
              <w:jc w:val="center"/>
              <w:rPr>
                <w:rFonts w:ascii="Unit-Regular" w:hAnsi="Unit-Regular"/>
                <w:b/>
                <w:sz w:val="18"/>
              </w:rPr>
            </w:pPr>
          </w:p>
        </w:tc>
        <w:tc>
          <w:tcPr>
            <w:tcW w:w="4531" w:type="dxa"/>
            <w:tcBorders>
              <w:right w:val="nil"/>
            </w:tcBorders>
            <w:vAlign w:val="center"/>
          </w:tcPr>
          <w:p w:rsidR="00381E09" w:rsidRPr="00381E09" w:rsidRDefault="00381E09" w:rsidP="00381E09">
            <w:pPr>
              <w:jc w:val="center"/>
              <w:rPr>
                <w:rFonts w:ascii="Unit-Regular" w:hAnsi="Unit-Regular"/>
                <w:b/>
                <w:sz w:val="18"/>
              </w:rPr>
            </w:pPr>
          </w:p>
        </w:tc>
      </w:tr>
      <w:tr w:rsidR="00381E09" w:rsidTr="00381E09">
        <w:trPr>
          <w:trHeight w:val="680"/>
        </w:trPr>
        <w:tc>
          <w:tcPr>
            <w:tcW w:w="4531" w:type="dxa"/>
          </w:tcPr>
          <w:p w:rsidR="00381E09" w:rsidRDefault="00381E09" w:rsidP="00381E09">
            <w:pPr>
              <w:ind w:left="-120" w:firstLine="22"/>
              <w:rPr>
                <w:rFonts w:ascii="Unit-Regular" w:hAnsi="Unit-Regular"/>
                <w:b/>
                <w:sz w:val="20"/>
              </w:rPr>
            </w:pPr>
            <w:r w:rsidRPr="00381E09">
              <w:rPr>
                <w:rFonts w:ascii="Unit-Regular" w:hAnsi="Unit-Regular"/>
                <w:b/>
                <w:sz w:val="20"/>
              </w:rPr>
              <w:t>Gegenstand:</w:t>
            </w:r>
          </w:p>
          <w:p w:rsidR="00A514EC" w:rsidRDefault="00C415F6" w:rsidP="00381E09">
            <w:pPr>
              <w:ind w:left="-120" w:firstLine="22"/>
              <w:rPr>
                <w:rFonts w:ascii="Unit-Regular" w:hAnsi="Unit-Regular"/>
                <w:b/>
              </w:rPr>
            </w:pPr>
            <w:r>
              <w:rPr>
                <w:rFonts w:ascii="Unit-Regular" w:hAnsi="Unit-Regular"/>
                <w:b/>
              </w:rPr>
              <w:t>Strukturentwicklungskonzept</w:t>
            </w:r>
          </w:p>
        </w:tc>
        <w:tc>
          <w:tcPr>
            <w:tcW w:w="4531" w:type="dxa"/>
            <w:vAlign w:val="center"/>
          </w:tcPr>
          <w:p w:rsidR="00381E09" w:rsidRDefault="00381E09" w:rsidP="004A5171">
            <w:pPr>
              <w:jc w:val="right"/>
              <w:rPr>
                <w:rFonts w:ascii="Unit-Regular" w:hAnsi="Unit-Regular"/>
                <w:b/>
              </w:rPr>
            </w:pPr>
          </w:p>
        </w:tc>
      </w:tr>
    </w:tbl>
    <w:p w:rsidR="00072757" w:rsidRPr="004A5171" w:rsidRDefault="00072757" w:rsidP="00072757">
      <w:pPr>
        <w:jc w:val="both"/>
        <w:rPr>
          <w:rFonts w:ascii="Unit-Regular" w:hAnsi="Unit-Regular"/>
        </w:rPr>
      </w:pPr>
    </w:p>
    <w:tbl>
      <w:tblPr>
        <w:tblStyle w:val="Tabellenraster"/>
        <w:tblW w:w="0" w:type="auto"/>
        <w:tblLook w:val="04A0" w:firstRow="1" w:lastRow="0" w:firstColumn="1" w:lastColumn="0" w:noHBand="0" w:noVBand="1"/>
      </w:tblPr>
      <w:tblGrid>
        <w:gridCol w:w="1759"/>
        <w:gridCol w:w="1785"/>
        <w:gridCol w:w="2058"/>
        <w:gridCol w:w="1625"/>
        <w:gridCol w:w="1835"/>
      </w:tblGrid>
      <w:tr w:rsidR="00381E09" w:rsidRPr="00381E09" w:rsidTr="00381E09">
        <w:trPr>
          <w:trHeight w:val="454"/>
        </w:trPr>
        <w:tc>
          <w:tcPr>
            <w:tcW w:w="1759" w:type="dxa"/>
            <w:vAlign w:val="center"/>
          </w:tcPr>
          <w:p w:rsidR="00381E09" w:rsidRPr="00381E09" w:rsidRDefault="00381E09" w:rsidP="00381E09">
            <w:pPr>
              <w:ind w:left="-120" w:firstLine="0"/>
              <w:jc w:val="center"/>
              <w:rPr>
                <w:rFonts w:ascii="Unit-Regular" w:hAnsi="Unit-Regular"/>
                <w:b/>
                <w:sz w:val="22"/>
              </w:rPr>
            </w:pPr>
            <w:r w:rsidRPr="00381E09">
              <w:rPr>
                <w:rFonts w:ascii="Unit-Regular" w:hAnsi="Unit-Regular"/>
                <w:b/>
                <w:sz w:val="22"/>
              </w:rPr>
              <w:t>Beratungsfolge</w:t>
            </w:r>
          </w:p>
        </w:tc>
        <w:tc>
          <w:tcPr>
            <w:tcW w:w="1785" w:type="dxa"/>
            <w:vAlign w:val="center"/>
          </w:tcPr>
          <w:p w:rsidR="00381E09" w:rsidRPr="00381E09" w:rsidRDefault="00381E09" w:rsidP="00381E09">
            <w:pPr>
              <w:ind w:left="-76" w:firstLine="0"/>
              <w:jc w:val="center"/>
              <w:rPr>
                <w:rFonts w:ascii="Unit-Regular" w:hAnsi="Unit-Regular"/>
                <w:b/>
                <w:sz w:val="22"/>
              </w:rPr>
            </w:pPr>
            <w:r w:rsidRPr="00381E09">
              <w:rPr>
                <w:rFonts w:ascii="Unit-Regular" w:hAnsi="Unit-Regular"/>
                <w:b/>
                <w:sz w:val="22"/>
              </w:rPr>
              <w:t>Sitzungstermine</w:t>
            </w:r>
          </w:p>
        </w:tc>
        <w:tc>
          <w:tcPr>
            <w:tcW w:w="2058" w:type="dxa"/>
            <w:vAlign w:val="center"/>
          </w:tcPr>
          <w:p w:rsidR="00381E09" w:rsidRPr="00381E09" w:rsidRDefault="00381E09" w:rsidP="00381E09">
            <w:pPr>
              <w:ind w:left="-48" w:firstLine="0"/>
              <w:jc w:val="center"/>
              <w:rPr>
                <w:rFonts w:ascii="Unit-Regular" w:hAnsi="Unit-Regular"/>
                <w:b/>
                <w:sz w:val="22"/>
              </w:rPr>
            </w:pPr>
            <w:r w:rsidRPr="00381E09">
              <w:rPr>
                <w:rFonts w:ascii="Unit-Regular" w:hAnsi="Unit-Regular"/>
                <w:b/>
                <w:sz w:val="22"/>
              </w:rPr>
              <w:t>öffentl./nichtöffentl.</w:t>
            </w:r>
          </w:p>
        </w:tc>
        <w:tc>
          <w:tcPr>
            <w:tcW w:w="1625" w:type="dxa"/>
            <w:vAlign w:val="center"/>
          </w:tcPr>
          <w:p w:rsidR="00381E09" w:rsidRPr="00381E09" w:rsidRDefault="00381E09" w:rsidP="00381E09">
            <w:pPr>
              <w:ind w:left="-20" w:firstLine="0"/>
              <w:jc w:val="center"/>
              <w:rPr>
                <w:rFonts w:ascii="Unit-Regular" w:hAnsi="Unit-Regular"/>
                <w:b/>
                <w:sz w:val="22"/>
              </w:rPr>
            </w:pPr>
            <w:r w:rsidRPr="00381E09">
              <w:rPr>
                <w:rFonts w:ascii="Unit-Regular" w:hAnsi="Unit-Regular"/>
                <w:b/>
                <w:sz w:val="22"/>
              </w:rPr>
              <w:t>Empfehlung</w:t>
            </w:r>
          </w:p>
        </w:tc>
        <w:tc>
          <w:tcPr>
            <w:tcW w:w="1835" w:type="dxa"/>
            <w:vAlign w:val="center"/>
          </w:tcPr>
          <w:p w:rsidR="00381E09" w:rsidRPr="00381E09" w:rsidRDefault="00381E09" w:rsidP="00381E09">
            <w:pPr>
              <w:ind w:left="0" w:firstLine="0"/>
              <w:jc w:val="center"/>
              <w:rPr>
                <w:rFonts w:ascii="Unit-Regular" w:hAnsi="Unit-Regular"/>
                <w:b/>
                <w:sz w:val="22"/>
              </w:rPr>
            </w:pPr>
            <w:r w:rsidRPr="00381E09">
              <w:rPr>
                <w:rFonts w:ascii="Unit-Regular" w:hAnsi="Unit-Regular"/>
                <w:b/>
                <w:sz w:val="22"/>
              </w:rPr>
              <w:t>ohne Empfehlung</w:t>
            </w:r>
          </w:p>
        </w:tc>
      </w:tr>
      <w:tr w:rsidR="00381E09" w:rsidTr="00381E09">
        <w:trPr>
          <w:trHeight w:val="454"/>
        </w:trPr>
        <w:tc>
          <w:tcPr>
            <w:tcW w:w="1759" w:type="dxa"/>
            <w:vAlign w:val="center"/>
          </w:tcPr>
          <w:p w:rsidR="00381E09" w:rsidRDefault="00381E09" w:rsidP="00381E09">
            <w:pPr>
              <w:ind w:left="-120" w:firstLine="0"/>
              <w:jc w:val="center"/>
              <w:rPr>
                <w:rFonts w:ascii="Unit-Regular" w:hAnsi="Unit-Regular"/>
                <w:sz w:val="22"/>
              </w:rPr>
            </w:pPr>
            <w:r>
              <w:rPr>
                <w:rFonts w:ascii="Unit-Regular" w:hAnsi="Unit-Regular"/>
                <w:sz w:val="22"/>
              </w:rPr>
              <w:t>Technischer Ausschuss</w:t>
            </w:r>
          </w:p>
        </w:tc>
        <w:tc>
          <w:tcPr>
            <w:tcW w:w="1785" w:type="dxa"/>
            <w:vAlign w:val="center"/>
          </w:tcPr>
          <w:p w:rsidR="00381E09" w:rsidRDefault="00381E09" w:rsidP="00381E09">
            <w:pPr>
              <w:ind w:left="-76" w:firstLine="0"/>
              <w:jc w:val="center"/>
              <w:rPr>
                <w:rFonts w:ascii="Unit-Regular" w:hAnsi="Unit-Regular"/>
                <w:sz w:val="22"/>
              </w:rPr>
            </w:pPr>
          </w:p>
        </w:tc>
        <w:tc>
          <w:tcPr>
            <w:tcW w:w="2058" w:type="dxa"/>
            <w:vAlign w:val="center"/>
          </w:tcPr>
          <w:p w:rsidR="00381E09" w:rsidRDefault="00381E09" w:rsidP="00381E09">
            <w:pPr>
              <w:ind w:left="-48" w:firstLine="0"/>
              <w:jc w:val="center"/>
              <w:rPr>
                <w:rFonts w:ascii="Unit-Regular" w:hAnsi="Unit-Regular"/>
                <w:sz w:val="22"/>
              </w:rPr>
            </w:pPr>
          </w:p>
        </w:tc>
        <w:tc>
          <w:tcPr>
            <w:tcW w:w="1625" w:type="dxa"/>
            <w:vAlign w:val="center"/>
          </w:tcPr>
          <w:p w:rsidR="00381E09" w:rsidRDefault="00381E09" w:rsidP="00381E09">
            <w:pPr>
              <w:ind w:left="-20" w:firstLine="0"/>
              <w:jc w:val="center"/>
              <w:rPr>
                <w:rFonts w:ascii="Unit-Regular" w:hAnsi="Unit-Regular"/>
                <w:sz w:val="22"/>
              </w:rPr>
            </w:pPr>
          </w:p>
        </w:tc>
        <w:tc>
          <w:tcPr>
            <w:tcW w:w="1835" w:type="dxa"/>
            <w:vAlign w:val="center"/>
          </w:tcPr>
          <w:p w:rsidR="00381E09" w:rsidRDefault="00381E09" w:rsidP="00381E09">
            <w:pPr>
              <w:ind w:left="0" w:firstLine="0"/>
              <w:jc w:val="center"/>
              <w:rPr>
                <w:rFonts w:ascii="Unit-Regular" w:hAnsi="Unit-Regular"/>
                <w:sz w:val="22"/>
              </w:rPr>
            </w:pPr>
          </w:p>
        </w:tc>
      </w:tr>
      <w:tr w:rsidR="00381E09" w:rsidTr="00381E09">
        <w:trPr>
          <w:trHeight w:val="454"/>
        </w:trPr>
        <w:tc>
          <w:tcPr>
            <w:tcW w:w="1759" w:type="dxa"/>
            <w:vAlign w:val="center"/>
          </w:tcPr>
          <w:p w:rsidR="00381E09" w:rsidRDefault="00381E09" w:rsidP="00381E09">
            <w:pPr>
              <w:ind w:left="-120" w:firstLine="0"/>
              <w:jc w:val="center"/>
              <w:rPr>
                <w:rFonts w:ascii="Unit-Regular" w:hAnsi="Unit-Regular"/>
                <w:sz w:val="22"/>
              </w:rPr>
            </w:pPr>
            <w:r>
              <w:rPr>
                <w:rFonts w:ascii="Unit-Regular" w:hAnsi="Unit-Regular"/>
                <w:sz w:val="22"/>
              </w:rPr>
              <w:t>Verwaltungs-ausschuss</w:t>
            </w:r>
          </w:p>
        </w:tc>
        <w:tc>
          <w:tcPr>
            <w:tcW w:w="1785" w:type="dxa"/>
            <w:vAlign w:val="center"/>
          </w:tcPr>
          <w:p w:rsidR="00381E09" w:rsidRDefault="00381E09" w:rsidP="00381E09">
            <w:pPr>
              <w:ind w:left="-76" w:firstLine="0"/>
              <w:jc w:val="center"/>
              <w:rPr>
                <w:rFonts w:ascii="Unit-Regular" w:hAnsi="Unit-Regular"/>
                <w:sz w:val="22"/>
              </w:rPr>
            </w:pPr>
          </w:p>
        </w:tc>
        <w:tc>
          <w:tcPr>
            <w:tcW w:w="2058" w:type="dxa"/>
            <w:vAlign w:val="center"/>
          </w:tcPr>
          <w:p w:rsidR="00381E09" w:rsidRDefault="00381E09" w:rsidP="00381E09">
            <w:pPr>
              <w:ind w:left="-48" w:firstLine="0"/>
              <w:jc w:val="center"/>
              <w:rPr>
                <w:rFonts w:ascii="Unit-Regular" w:hAnsi="Unit-Regular"/>
                <w:sz w:val="22"/>
              </w:rPr>
            </w:pPr>
          </w:p>
        </w:tc>
        <w:tc>
          <w:tcPr>
            <w:tcW w:w="1625" w:type="dxa"/>
            <w:vAlign w:val="center"/>
          </w:tcPr>
          <w:p w:rsidR="00381E09" w:rsidRDefault="00381E09" w:rsidP="00381E09">
            <w:pPr>
              <w:ind w:left="-20" w:firstLine="0"/>
              <w:jc w:val="center"/>
              <w:rPr>
                <w:rFonts w:ascii="Unit-Regular" w:hAnsi="Unit-Regular"/>
                <w:sz w:val="22"/>
              </w:rPr>
            </w:pPr>
          </w:p>
        </w:tc>
        <w:tc>
          <w:tcPr>
            <w:tcW w:w="1835" w:type="dxa"/>
            <w:vAlign w:val="center"/>
          </w:tcPr>
          <w:p w:rsidR="00381E09" w:rsidRDefault="00381E09" w:rsidP="00381E09">
            <w:pPr>
              <w:ind w:left="0" w:firstLine="0"/>
              <w:jc w:val="center"/>
              <w:rPr>
                <w:rFonts w:ascii="Unit-Regular" w:hAnsi="Unit-Regular"/>
                <w:sz w:val="22"/>
              </w:rPr>
            </w:pPr>
          </w:p>
        </w:tc>
      </w:tr>
    </w:tbl>
    <w:p w:rsidR="00381E09" w:rsidRDefault="00381E09" w:rsidP="00072757">
      <w:pPr>
        <w:jc w:val="both"/>
        <w:rPr>
          <w:rFonts w:ascii="Unit-Regular" w:hAnsi="Unit-Regular"/>
          <w:sz w:val="22"/>
        </w:rPr>
      </w:pPr>
    </w:p>
    <w:p w:rsidR="00381E09" w:rsidRPr="00381E09" w:rsidRDefault="00381E09" w:rsidP="00072757">
      <w:pPr>
        <w:jc w:val="both"/>
        <w:rPr>
          <w:rFonts w:ascii="Unit-Regular" w:hAnsi="Unit-Regular"/>
          <w:b/>
          <w:sz w:val="22"/>
        </w:rPr>
      </w:pPr>
      <w:r w:rsidRPr="00381E09">
        <w:rPr>
          <w:rFonts w:ascii="Unit-Regular" w:hAnsi="Unit-Regular"/>
          <w:b/>
          <w:sz w:val="22"/>
        </w:rPr>
        <w:t>Beschlussvorschlag:</w:t>
      </w:r>
    </w:p>
    <w:p w:rsidR="00381E09" w:rsidRPr="00AF33B5" w:rsidRDefault="00381E09" w:rsidP="00072757">
      <w:pPr>
        <w:jc w:val="both"/>
        <w:rPr>
          <w:rFonts w:ascii="Unit-Regular" w:hAnsi="Unit-Regular"/>
          <w:sz w:val="22"/>
          <w:szCs w:val="22"/>
        </w:rPr>
      </w:pPr>
    </w:p>
    <w:p w:rsidR="006D274B" w:rsidRDefault="006D274B" w:rsidP="006D274B">
      <w:pPr>
        <w:jc w:val="both"/>
        <w:rPr>
          <w:rFonts w:ascii="Unit-Regular" w:hAnsi="Unit-Regular"/>
          <w:sz w:val="22"/>
          <w:szCs w:val="22"/>
        </w:rPr>
      </w:pPr>
      <w:r>
        <w:rPr>
          <w:rFonts w:ascii="Unit-Regular" w:hAnsi="Unit-Regular"/>
          <w:sz w:val="22"/>
          <w:szCs w:val="22"/>
        </w:rPr>
        <w:t>Die Stadträte der Stadt Regis-Breitingen wollen folgenden Beschluss fassen:</w:t>
      </w:r>
    </w:p>
    <w:p w:rsidR="006D274B" w:rsidRPr="00C415F6" w:rsidRDefault="006D274B" w:rsidP="006D274B">
      <w:pPr>
        <w:jc w:val="both"/>
        <w:rPr>
          <w:rFonts w:ascii="Unit-Regular" w:hAnsi="Unit-Regular"/>
          <w:sz w:val="22"/>
          <w:szCs w:val="22"/>
        </w:rPr>
      </w:pPr>
    </w:p>
    <w:p w:rsidR="00C415F6" w:rsidRPr="00C415F6" w:rsidRDefault="00C415F6" w:rsidP="00C415F6">
      <w:pPr>
        <w:pStyle w:val="Listenabsatz"/>
        <w:numPr>
          <w:ilvl w:val="0"/>
          <w:numId w:val="2"/>
        </w:numPr>
        <w:rPr>
          <w:rFonts w:ascii="Unit-Regular" w:hAnsi="Unit-Regular" w:cs="Arial"/>
        </w:rPr>
      </w:pPr>
      <w:r w:rsidRPr="00C415F6">
        <w:rPr>
          <w:rFonts w:ascii="Unit-Regular" w:hAnsi="Unit-Regular" w:cs="Arial"/>
        </w:rPr>
        <w:t xml:space="preserve">Das Strukturentwicklungskonzept 2035+ in der Fassung vom 10.01.2025 (Anlage 1) als integriertes Stadtentwicklungskonzept für Regis-Breitingen, als für die gesamte Stadtentwicklung ausgerichtete Rahmenplanung. </w:t>
      </w:r>
    </w:p>
    <w:p w:rsidR="00C415F6" w:rsidRPr="00C415F6" w:rsidRDefault="00C415F6" w:rsidP="00C415F6">
      <w:pPr>
        <w:pStyle w:val="Listenabsatz"/>
        <w:rPr>
          <w:rFonts w:ascii="Unit-Regular" w:hAnsi="Unit-Regular" w:cs="Arial"/>
        </w:rPr>
      </w:pPr>
    </w:p>
    <w:p w:rsidR="00C415F6" w:rsidRPr="00C415F6" w:rsidRDefault="00C415F6" w:rsidP="00C415F6">
      <w:pPr>
        <w:pStyle w:val="Listenabsatz"/>
        <w:numPr>
          <w:ilvl w:val="0"/>
          <w:numId w:val="2"/>
        </w:numPr>
        <w:rPr>
          <w:rFonts w:ascii="Unit-Regular" w:hAnsi="Unit-Regular" w:cs="Arial"/>
        </w:rPr>
      </w:pPr>
      <w:r w:rsidRPr="00C415F6">
        <w:rPr>
          <w:rFonts w:ascii="Unit-Regular" w:hAnsi="Unit-Regular" w:cs="Arial"/>
        </w:rPr>
        <w:t>Das Ortentwicklungskonzept „Regis“, in der Fassung vom 10.01.2025 (Anlage 2), als gebietsbezogenes, städtebauliches Entwicklungskonzept gemäß § 171b Abs. 2 BauGB.</w:t>
      </w:r>
    </w:p>
    <w:p w:rsidR="00C415F6" w:rsidRPr="00C415F6" w:rsidRDefault="00C415F6" w:rsidP="00C415F6">
      <w:pPr>
        <w:pStyle w:val="Listenabsatz"/>
        <w:rPr>
          <w:rFonts w:ascii="Unit-Regular" w:hAnsi="Unit-Regular" w:cs="Arial"/>
        </w:rPr>
      </w:pPr>
    </w:p>
    <w:p w:rsidR="00C415F6" w:rsidRPr="00C415F6" w:rsidRDefault="00C415F6" w:rsidP="00C415F6">
      <w:pPr>
        <w:pStyle w:val="Listenabsatz"/>
        <w:numPr>
          <w:ilvl w:val="0"/>
          <w:numId w:val="2"/>
        </w:numPr>
        <w:rPr>
          <w:rFonts w:ascii="Unit-Regular" w:hAnsi="Unit-Regular" w:cs="Arial"/>
        </w:rPr>
      </w:pPr>
      <w:r w:rsidRPr="00C415F6">
        <w:rPr>
          <w:rFonts w:ascii="Unit-Regular" w:hAnsi="Unit-Regular" w:cs="Arial"/>
        </w:rPr>
        <w:t>Die Abgrenzung des Fördergebietes „Kernstadt Regis“ (Anlage 3) als Maßnahmen-/ Stadtumbaugebiet nach § 171 b BauGB zur Beantragung von Städtebaufördermitteln im Programm „Wachstum und nachhaltige Erneuerung – Lebenswerte Quartiere gestalten“ (WEP).</w:t>
      </w:r>
    </w:p>
    <w:p w:rsidR="00C415F6" w:rsidRPr="00C415F6" w:rsidRDefault="00C415F6" w:rsidP="00C415F6">
      <w:pPr>
        <w:rPr>
          <w:rFonts w:ascii="Unit-Regular" w:hAnsi="Unit-Regular" w:cs="Arial"/>
        </w:rPr>
      </w:pPr>
    </w:p>
    <w:p w:rsidR="00C415F6" w:rsidRDefault="00C415F6" w:rsidP="00C415F6">
      <w:pPr>
        <w:pStyle w:val="Listenabsatz"/>
        <w:numPr>
          <w:ilvl w:val="0"/>
          <w:numId w:val="2"/>
        </w:numPr>
        <w:rPr>
          <w:rFonts w:cs="Arial"/>
        </w:rPr>
      </w:pPr>
      <w:r w:rsidRPr="00C415F6">
        <w:rPr>
          <w:rFonts w:ascii="Unit-Regular" w:hAnsi="Unit-Regular" w:cs="Arial"/>
        </w:rPr>
        <w:t>Die bei Aufnahme in das Förderprogramm WEP zu erbringenden Eigenanteile für die im städtebaulichen Entwicklungskonzept abgeleiteten Maßnahmen werden in den Haushaltsplan aufgenommen</w:t>
      </w:r>
      <w:r>
        <w:rPr>
          <w:rFonts w:cs="Arial"/>
        </w:rPr>
        <w:t>.</w:t>
      </w:r>
    </w:p>
    <w:p w:rsidR="00C415F6" w:rsidRPr="004F67BD" w:rsidRDefault="00C415F6" w:rsidP="00C415F6">
      <w:pPr>
        <w:pStyle w:val="Listenabsatz"/>
        <w:rPr>
          <w:rFonts w:cs="Arial"/>
        </w:rPr>
      </w:pPr>
    </w:p>
    <w:p w:rsidR="007A33D8" w:rsidRDefault="007A33D8" w:rsidP="00CB762B">
      <w:pPr>
        <w:rPr>
          <w:rFonts w:ascii="Unit-Regular" w:hAnsi="Unit-Regular"/>
          <w:sz w:val="22"/>
          <w:szCs w:val="22"/>
        </w:rPr>
      </w:pPr>
    </w:p>
    <w:p w:rsidR="007A33D8" w:rsidRPr="00AF33B5" w:rsidRDefault="007A33D8" w:rsidP="00CB762B">
      <w:pPr>
        <w:rPr>
          <w:rFonts w:ascii="Unit-Regular" w:hAnsi="Unit-Regular"/>
          <w:sz w:val="22"/>
          <w:szCs w:val="22"/>
        </w:rPr>
      </w:pPr>
    </w:p>
    <w:p w:rsidR="00CB762B" w:rsidRPr="00CB762B" w:rsidRDefault="00CB762B" w:rsidP="00CB762B">
      <w:pPr>
        <w:rPr>
          <w:rFonts w:ascii="Unit-Regular" w:hAnsi="Unit-Regular"/>
          <w:b/>
        </w:rPr>
      </w:pPr>
      <w:r w:rsidRPr="00CB762B">
        <w:rPr>
          <w:rFonts w:ascii="Unit-Regular" w:hAnsi="Unit-Regular"/>
          <w:b/>
        </w:rPr>
        <w:t>Begründung:</w:t>
      </w:r>
    </w:p>
    <w:p w:rsidR="00C415F6" w:rsidRDefault="00C415F6" w:rsidP="00C415F6">
      <w:pPr>
        <w:autoSpaceDE w:val="0"/>
        <w:autoSpaceDN w:val="0"/>
        <w:adjustRightInd w:val="0"/>
        <w:jc w:val="both"/>
      </w:pPr>
      <w:r w:rsidRPr="009273B2">
        <w:rPr>
          <w:rFonts w:cs="Arial"/>
        </w:rPr>
        <w:t xml:space="preserve">Die </w:t>
      </w:r>
      <w:r>
        <w:rPr>
          <w:rFonts w:cs="Arial"/>
        </w:rPr>
        <w:t xml:space="preserve">Stadt </w:t>
      </w:r>
      <w:r w:rsidRPr="009273B2">
        <w:rPr>
          <w:rFonts w:cs="Arial"/>
        </w:rPr>
        <w:t>beabsichtigt die Beantragung von Fördermitteln aus der Städtebauförderung,</w:t>
      </w:r>
      <w:r>
        <w:rPr>
          <w:rFonts w:cs="Arial"/>
        </w:rPr>
        <w:t xml:space="preserve"> u</w:t>
      </w:r>
      <w:r w:rsidRPr="009273B2">
        <w:rPr>
          <w:rFonts w:cs="Arial"/>
        </w:rPr>
        <w:t>m für die anstehenden Aufgaben im Kernbereich</w:t>
      </w:r>
      <w:r>
        <w:rPr>
          <w:rFonts w:cs="Arial"/>
        </w:rPr>
        <w:t xml:space="preserve"> Regis</w:t>
      </w:r>
      <w:r w:rsidRPr="009273B2">
        <w:rPr>
          <w:rFonts w:cs="Arial"/>
        </w:rPr>
        <w:t xml:space="preserve"> perspektivisch handlungsfähig</w:t>
      </w:r>
      <w:r>
        <w:rPr>
          <w:rFonts w:cs="Arial"/>
        </w:rPr>
        <w:t xml:space="preserve"> </w:t>
      </w:r>
      <w:r w:rsidRPr="009273B2">
        <w:rPr>
          <w:rFonts w:cs="Arial"/>
        </w:rPr>
        <w:t xml:space="preserve">zu sein. Das </w:t>
      </w:r>
      <w:r>
        <w:rPr>
          <w:rFonts w:cs="Arial"/>
        </w:rPr>
        <w:t xml:space="preserve">Ortsentwicklungskonzept Regis </w:t>
      </w:r>
      <w:r w:rsidRPr="009273B2">
        <w:rPr>
          <w:rFonts w:cs="Arial"/>
        </w:rPr>
        <w:t>soll als gebietsbezogenes</w:t>
      </w:r>
      <w:r>
        <w:rPr>
          <w:rFonts w:cs="Arial"/>
        </w:rPr>
        <w:t>, städtebauliches Entwicklungskonzept</w:t>
      </w:r>
      <w:r w:rsidRPr="009273B2">
        <w:rPr>
          <w:rFonts w:cs="Arial"/>
        </w:rPr>
        <w:t xml:space="preserve"> die Grundlage der Beantragung von Städtebaufördermitteln übernehmen.</w:t>
      </w:r>
      <w:r w:rsidRPr="0029640C">
        <w:rPr>
          <w:rFonts w:ascii="CalibriLight" w:hAnsi="CalibriLight" w:cs="CalibriLight"/>
          <w:szCs w:val="22"/>
        </w:rPr>
        <w:t xml:space="preserve"> </w:t>
      </w:r>
      <w:r w:rsidRPr="009273B2">
        <w:rPr>
          <w:rFonts w:cs="Arial"/>
        </w:rPr>
        <w:t xml:space="preserve">Deshalb </w:t>
      </w:r>
      <w:r>
        <w:rPr>
          <w:rFonts w:cs="Arial"/>
        </w:rPr>
        <w:t>wurde</w:t>
      </w:r>
      <w:r w:rsidRPr="009273B2">
        <w:rPr>
          <w:rFonts w:cs="Arial"/>
        </w:rPr>
        <w:t xml:space="preserve"> auf der Basis der </w:t>
      </w:r>
      <w:r w:rsidRPr="00FF41A5">
        <w:rPr>
          <w:rFonts w:cs="Arial"/>
        </w:rPr>
        <w:t xml:space="preserve">Untersuchungsergebnisse eine geeignete </w:t>
      </w:r>
      <w:r>
        <w:rPr>
          <w:rFonts w:ascii="CalibriLight" w:hAnsi="CalibriLight" w:cs="CalibriLight"/>
          <w:szCs w:val="22"/>
        </w:rPr>
        <w:t xml:space="preserve">Gebietskulisse, </w:t>
      </w:r>
      <w:r w:rsidRPr="00FF41A5">
        <w:rPr>
          <w:rFonts w:ascii="CalibriLight" w:hAnsi="CalibriLight" w:cs="CalibriLight"/>
          <w:szCs w:val="22"/>
        </w:rPr>
        <w:t xml:space="preserve">das </w:t>
      </w:r>
      <w:r w:rsidRPr="008B7532">
        <w:rPr>
          <w:rFonts w:ascii="CalibriLight" w:hAnsi="CalibriLight" w:cs="CalibriLight"/>
          <w:szCs w:val="22"/>
        </w:rPr>
        <w:t>Maßnahmen</w:t>
      </w:r>
      <w:r>
        <w:rPr>
          <w:rFonts w:ascii="CalibriLight" w:hAnsi="CalibriLight" w:cs="CalibriLight"/>
          <w:szCs w:val="22"/>
        </w:rPr>
        <w:t>-/</w:t>
      </w:r>
      <w:r w:rsidRPr="008B7532">
        <w:rPr>
          <w:rFonts w:ascii="CalibriLight" w:hAnsi="CalibriLight" w:cs="CalibriLight"/>
          <w:szCs w:val="22"/>
        </w:rPr>
        <w:t>Stadtumbaugebiet „</w:t>
      </w:r>
      <w:r>
        <w:rPr>
          <w:rFonts w:ascii="CalibriLight" w:hAnsi="CalibriLight" w:cs="CalibriLight"/>
          <w:szCs w:val="22"/>
        </w:rPr>
        <w:t>Kernstadt Regis</w:t>
      </w:r>
      <w:r w:rsidRPr="00FF41A5">
        <w:rPr>
          <w:rFonts w:ascii="CalibriLight" w:hAnsi="CalibriLight" w:cs="CalibriLight"/>
          <w:szCs w:val="22"/>
        </w:rPr>
        <w:t xml:space="preserve">“ mit einer </w:t>
      </w:r>
      <w:r w:rsidRPr="00AE3AB7">
        <w:rPr>
          <w:rFonts w:ascii="CalibriLight" w:hAnsi="CalibriLight" w:cs="CalibriLight"/>
          <w:szCs w:val="22"/>
        </w:rPr>
        <w:t xml:space="preserve">Größe von </w:t>
      </w:r>
      <w:r>
        <w:rPr>
          <w:rFonts w:ascii="CalibriLight" w:hAnsi="CalibriLight" w:cs="CalibriLight"/>
          <w:szCs w:val="22"/>
        </w:rPr>
        <w:t xml:space="preserve">17,4 ha </w:t>
      </w:r>
      <w:r w:rsidRPr="00FF41A5">
        <w:rPr>
          <w:rFonts w:ascii="CalibriLight" w:hAnsi="CalibriLight" w:cs="CalibriLight"/>
          <w:szCs w:val="22"/>
        </w:rPr>
        <w:t>(</w:t>
      </w:r>
      <w:r w:rsidRPr="00AE3AB7">
        <w:rPr>
          <w:rFonts w:ascii="CalibriLight" w:hAnsi="CalibriLight" w:cs="CalibriLight"/>
          <w:szCs w:val="22"/>
        </w:rPr>
        <w:t xml:space="preserve">Anlage </w:t>
      </w:r>
      <w:r>
        <w:rPr>
          <w:rFonts w:ascii="CalibriLight" w:hAnsi="CalibriLight" w:cs="CalibriLight"/>
          <w:szCs w:val="22"/>
        </w:rPr>
        <w:t>3</w:t>
      </w:r>
      <w:r w:rsidRPr="00FF41A5">
        <w:rPr>
          <w:rFonts w:ascii="CalibriLight" w:hAnsi="CalibriLight" w:cs="CalibriLight"/>
          <w:szCs w:val="22"/>
        </w:rPr>
        <w:t>)</w:t>
      </w:r>
      <w:r>
        <w:rPr>
          <w:rFonts w:ascii="CalibriLight" w:hAnsi="CalibriLight" w:cs="CalibriLight"/>
          <w:szCs w:val="22"/>
        </w:rPr>
        <w:t>, abgeleitet</w:t>
      </w:r>
      <w:r w:rsidRPr="00FF41A5">
        <w:rPr>
          <w:rFonts w:ascii="CalibriLight" w:hAnsi="CalibriLight" w:cs="CalibriLight"/>
          <w:szCs w:val="22"/>
        </w:rPr>
        <w:t>. Das</w:t>
      </w:r>
      <w:r>
        <w:rPr>
          <w:rFonts w:ascii="CalibriLight" w:hAnsi="CalibriLight" w:cs="CalibriLight"/>
          <w:szCs w:val="22"/>
        </w:rPr>
        <w:t xml:space="preserve"> Ortsentwicklungskonzept (Anlage 2) soll den Nachweis der städtebaulichen Problemlagen für das Untersuchungsgebiet erbringen und Lösungswege zu deren Überwindung skizzieren.</w:t>
      </w:r>
      <w:r w:rsidRPr="00210480">
        <w:t xml:space="preserve"> </w:t>
      </w:r>
    </w:p>
    <w:p w:rsidR="00C415F6" w:rsidRDefault="00C415F6" w:rsidP="00C415F6">
      <w:pPr>
        <w:autoSpaceDE w:val="0"/>
        <w:autoSpaceDN w:val="0"/>
        <w:adjustRightInd w:val="0"/>
        <w:jc w:val="both"/>
      </w:pPr>
    </w:p>
    <w:p w:rsidR="00C415F6" w:rsidRDefault="00C415F6" w:rsidP="00C415F6">
      <w:pPr>
        <w:autoSpaceDE w:val="0"/>
        <w:autoSpaceDN w:val="0"/>
        <w:adjustRightInd w:val="0"/>
        <w:jc w:val="both"/>
      </w:pPr>
      <w:r w:rsidRPr="001522F9">
        <w:rPr>
          <w:rFonts w:ascii="CalibriLight" w:hAnsi="CalibriLight" w:cs="CalibriLight"/>
          <w:szCs w:val="22"/>
        </w:rPr>
        <w:t xml:space="preserve">Eine aktuelle </w:t>
      </w:r>
      <w:r>
        <w:rPr>
          <w:rFonts w:ascii="CalibriLight" w:hAnsi="CalibriLight" w:cs="CalibriLight"/>
          <w:szCs w:val="22"/>
        </w:rPr>
        <w:t>integrierte Stadtentwicklungsstrategie für die Gesamtstadt</w:t>
      </w:r>
      <w:r w:rsidRPr="001522F9">
        <w:rPr>
          <w:rFonts w:ascii="CalibriLight" w:hAnsi="CalibriLight" w:cs="CalibriLight"/>
          <w:szCs w:val="22"/>
        </w:rPr>
        <w:t xml:space="preserve"> ist für die Ableitung der Fördergebietskulisse </w:t>
      </w:r>
      <w:r>
        <w:rPr>
          <w:rFonts w:ascii="CalibriLight" w:hAnsi="CalibriLight" w:cs="CalibriLight"/>
          <w:szCs w:val="22"/>
        </w:rPr>
        <w:t xml:space="preserve">zwingende Voraussetzung (vgl. </w:t>
      </w:r>
      <w:r>
        <w:rPr>
          <w:rFonts w:ascii="CalibriLight" w:hAnsi="CalibriLight" w:cs="CalibriLight"/>
          <w:szCs w:val="22"/>
        </w:rPr>
        <w:lastRenderedPageBreak/>
        <w:t xml:space="preserve">Programmausschreibung der Städtebauförderung 2025). </w:t>
      </w:r>
      <w:r>
        <w:t xml:space="preserve">Das bisher gültige integrierte Stadtentwicklungskonzept der Stadt Regis-Breitingen stammt aus dem Jahr 2015 und ist hinsichtlich verschiedener Aspekte überholt. Aus diesem Grund hat die Stadt Regis-Breitingen über die </w:t>
      </w:r>
      <w:proofErr w:type="spellStart"/>
      <w:r>
        <w:t>KommStEG</w:t>
      </w:r>
      <w:proofErr w:type="spellEnd"/>
      <w:r>
        <w:t xml:space="preserve"> mbH die DSK GmbH mit der Erarbeitung eines Strategiepapiers beauftragt, welches die Auswirkungen des </w:t>
      </w:r>
      <w:proofErr w:type="spellStart"/>
      <w:r>
        <w:t>kohleaustiegbedingten</w:t>
      </w:r>
      <w:proofErr w:type="spellEnd"/>
      <w:r>
        <w:t xml:space="preserve"> Strukturwandels auf die Stadt Regis-Breitingen betrachtet und auf dieser Basis ein Entwicklungskonzept zur integrierten Stadtentwicklung verfasst.</w:t>
      </w:r>
      <w:r w:rsidRPr="00ED4CB5">
        <w:t xml:space="preserve"> </w:t>
      </w:r>
      <w:r>
        <w:t>In diesem werden Handlungsbedarfe und Zielformulierungen anhand der aktuellen sowie zukünftigen Herausforderungen und Rahmenbedingungen aufgezeigt. Das Konzept schafft mit seinen Analysen die Grundlage, um aktuelle und kurzfristig als auch langfristig zu erwartende Interventionsbedarfe aufzuzeigen und formuliert anhand dessen notwendige Strategien und Entwicklungsziele. Im vorliegenden Konzept wird die Entwicklungsstrategie für die nächsten 10-15 Jahre umschrieben. Dabei steht die Stadt vor der Aufgabe, sich neu zu positionieren, um den Anforderungen einer sich wandelnden Gesellschaft und Wirtschaft gerecht zu werden. Hierzu werden folgende übergeordnete Ziele verfolgt:</w:t>
      </w:r>
    </w:p>
    <w:p w:rsidR="00C415F6" w:rsidRDefault="00C415F6" w:rsidP="00C415F6">
      <w:pPr>
        <w:pStyle w:val="Listenabsatz"/>
        <w:numPr>
          <w:ilvl w:val="0"/>
          <w:numId w:val="3"/>
        </w:numPr>
        <w:autoSpaceDE w:val="0"/>
        <w:autoSpaceDN w:val="0"/>
        <w:adjustRightInd w:val="0"/>
        <w:jc w:val="both"/>
      </w:pPr>
      <w:r>
        <w:t>Förderung sozialer Integration und Gemeinwohl</w:t>
      </w:r>
    </w:p>
    <w:p w:rsidR="00C415F6" w:rsidRDefault="00C415F6" w:rsidP="00C415F6">
      <w:pPr>
        <w:pStyle w:val="Listenabsatz"/>
        <w:numPr>
          <w:ilvl w:val="0"/>
          <w:numId w:val="3"/>
        </w:numPr>
        <w:autoSpaceDE w:val="0"/>
        <w:autoSpaceDN w:val="0"/>
        <w:adjustRightInd w:val="0"/>
        <w:jc w:val="both"/>
      </w:pPr>
      <w:r>
        <w:t>Sicherung des Bildungsstandortes</w:t>
      </w:r>
    </w:p>
    <w:p w:rsidR="00C415F6" w:rsidRDefault="00C415F6" w:rsidP="00C415F6">
      <w:pPr>
        <w:pStyle w:val="Listenabsatz"/>
        <w:numPr>
          <w:ilvl w:val="0"/>
          <w:numId w:val="3"/>
        </w:numPr>
        <w:autoSpaceDE w:val="0"/>
        <w:autoSpaceDN w:val="0"/>
        <w:adjustRightInd w:val="0"/>
        <w:jc w:val="both"/>
      </w:pPr>
      <w:r>
        <w:t>Wirtschaftliche Diversifizierung</w:t>
      </w:r>
    </w:p>
    <w:p w:rsidR="00C415F6" w:rsidRDefault="00C415F6" w:rsidP="00C415F6">
      <w:pPr>
        <w:pStyle w:val="Listenabsatz"/>
        <w:numPr>
          <w:ilvl w:val="0"/>
          <w:numId w:val="3"/>
        </w:numPr>
        <w:autoSpaceDE w:val="0"/>
        <w:autoSpaceDN w:val="0"/>
        <w:adjustRightInd w:val="0"/>
        <w:jc w:val="both"/>
      </w:pPr>
      <w:r>
        <w:t>Ökologische Nachhaltigkeit und Klimaanpassung</w:t>
      </w:r>
    </w:p>
    <w:p w:rsidR="00C415F6" w:rsidRDefault="00C415F6" w:rsidP="00C415F6">
      <w:pPr>
        <w:pStyle w:val="Listenabsatz"/>
        <w:numPr>
          <w:ilvl w:val="0"/>
          <w:numId w:val="3"/>
        </w:numPr>
        <w:autoSpaceDE w:val="0"/>
        <w:autoSpaceDN w:val="0"/>
        <w:adjustRightInd w:val="0"/>
        <w:jc w:val="both"/>
      </w:pPr>
      <w:r>
        <w:t>Erhalt und Entwicklung der städtebaulichen Struktur</w:t>
      </w:r>
    </w:p>
    <w:p w:rsidR="00C415F6" w:rsidRDefault="00C415F6" w:rsidP="00C415F6">
      <w:pPr>
        <w:pStyle w:val="Listenabsatz"/>
        <w:numPr>
          <w:ilvl w:val="0"/>
          <w:numId w:val="3"/>
        </w:numPr>
        <w:autoSpaceDE w:val="0"/>
        <w:autoSpaceDN w:val="0"/>
        <w:adjustRightInd w:val="0"/>
        <w:jc w:val="both"/>
      </w:pPr>
      <w:r>
        <w:t>Interkommunale Zusammenarbeit und regionale Vernetzung</w:t>
      </w:r>
    </w:p>
    <w:p w:rsidR="00C415F6" w:rsidRDefault="00C415F6" w:rsidP="00C415F6">
      <w:pPr>
        <w:pStyle w:val="Listenabsatz"/>
        <w:numPr>
          <w:ilvl w:val="0"/>
          <w:numId w:val="3"/>
        </w:numPr>
        <w:autoSpaceDE w:val="0"/>
        <w:autoSpaceDN w:val="0"/>
        <w:adjustRightInd w:val="0"/>
        <w:jc w:val="both"/>
      </w:pPr>
      <w:r>
        <w:t>Partizipation und Transparenz</w:t>
      </w:r>
    </w:p>
    <w:p w:rsidR="00C415F6" w:rsidRDefault="00C415F6" w:rsidP="00C415F6">
      <w:pPr>
        <w:autoSpaceDE w:val="0"/>
        <w:autoSpaceDN w:val="0"/>
        <w:adjustRightInd w:val="0"/>
        <w:jc w:val="both"/>
      </w:pPr>
      <w:r>
        <w:t>die wiederum in elf konkrete Entwicklungsstrategien (inkl. zugehöriger Aufgaben und Verantwortlichkeiten) und ein räumliches Leitbild übersetzt werden.</w:t>
      </w:r>
    </w:p>
    <w:p w:rsidR="00C415F6" w:rsidRDefault="00C415F6" w:rsidP="00C415F6">
      <w:pPr>
        <w:autoSpaceDE w:val="0"/>
        <w:autoSpaceDN w:val="0"/>
        <w:adjustRightInd w:val="0"/>
        <w:jc w:val="both"/>
      </w:pPr>
    </w:p>
    <w:p w:rsidR="00C415F6" w:rsidRDefault="00C415F6" w:rsidP="00C415F6">
      <w:pPr>
        <w:keepNext/>
        <w:autoSpaceDE w:val="0"/>
        <w:autoSpaceDN w:val="0"/>
        <w:adjustRightInd w:val="0"/>
        <w:jc w:val="both"/>
      </w:pPr>
      <w:r>
        <w:rPr>
          <w:noProof/>
        </w:rPr>
        <w:drawing>
          <wp:inline distT="0" distB="0" distL="0" distR="0" wp14:anchorId="4C5C74FE" wp14:editId="1201026D">
            <wp:extent cx="4627419" cy="3256112"/>
            <wp:effectExtent l="0" t="0" r="1905" b="190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647400" cy="3270172"/>
                    </a:xfrm>
                    <a:prstGeom prst="rect">
                      <a:avLst/>
                    </a:prstGeom>
                  </pic:spPr>
                </pic:pic>
              </a:graphicData>
            </a:graphic>
          </wp:inline>
        </w:drawing>
      </w:r>
    </w:p>
    <w:p w:rsidR="00C415F6" w:rsidRDefault="00C415F6" w:rsidP="00C415F6">
      <w:pPr>
        <w:pStyle w:val="Beschriftung"/>
        <w:jc w:val="both"/>
      </w:pPr>
      <w:r>
        <w:t xml:space="preserve">Abbildung </w:t>
      </w:r>
      <w:r>
        <w:fldChar w:fldCharType="begin"/>
      </w:r>
      <w:r>
        <w:instrText xml:space="preserve"> SEQ Abbildung \* ARABIC </w:instrText>
      </w:r>
      <w:r>
        <w:fldChar w:fldCharType="separate"/>
      </w:r>
      <w:r>
        <w:rPr>
          <w:noProof/>
        </w:rPr>
        <w:t>1</w:t>
      </w:r>
      <w:r>
        <w:fldChar w:fldCharType="end"/>
      </w:r>
      <w:r>
        <w:t>: räumliches Leitbild</w:t>
      </w:r>
    </w:p>
    <w:p w:rsidR="00C415F6" w:rsidRDefault="00C415F6" w:rsidP="00C415F6">
      <w:pPr>
        <w:autoSpaceDE w:val="0"/>
        <w:autoSpaceDN w:val="0"/>
        <w:adjustRightInd w:val="0"/>
        <w:jc w:val="both"/>
        <w:rPr>
          <w:rFonts w:ascii="CalibriLight" w:hAnsi="CalibriLight" w:cs="CalibriLight"/>
          <w:szCs w:val="22"/>
        </w:rPr>
      </w:pPr>
      <w:r>
        <w:rPr>
          <w:rFonts w:ascii="CalibriLight" w:hAnsi="CalibriLight" w:cs="CalibriLight"/>
          <w:szCs w:val="22"/>
        </w:rPr>
        <w:t xml:space="preserve">Das Untersuchungsgebiet als letztlich auch das konkrete Fördergebiet lassen sich aus den räumlichen und thematischen </w:t>
      </w:r>
      <w:r w:rsidRPr="001522F9">
        <w:rPr>
          <w:rFonts w:ascii="CalibriLight" w:hAnsi="CalibriLight" w:cs="CalibriLight"/>
          <w:szCs w:val="22"/>
        </w:rPr>
        <w:t>Interventionsschwerpunkte</w:t>
      </w:r>
      <w:r>
        <w:rPr>
          <w:rFonts w:ascii="CalibriLight" w:hAnsi="CalibriLight" w:cs="CalibriLight"/>
          <w:szCs w:val="22"/>
        </w:rPr>
        <w:t xml:space="preserve">n des Strukturentwicklungskonzeptes ableiten. </w:t>
      </w:r>
      <w:r>
        <w:t>Es</w:t>
      </w:r>
      <w:r w:rsidRPr="001522F9">
        <w:t xml:space="preserve"> schafft </w:t>
      </w:r>
      <w:r>
        <w:t>die Grundlage</w:t>
      </w:r>
      <w:r w:rsidRPr="001522F9">
        <w:t xml:space="preserve"> um </w:t>
      </w:r>
      <w:r>
        <w:t xml:space="preserve">die </w:t>
      </w:r>
      <w:r w:rsidRPr="001522F9">
        <w:t>zu erwartende</w:t>
      </w:r>
      <w:r>
        <w:t>n</w:t>
      </w:r>
      <w:r w:rsidRPr="001522F9">
        <w:t xml:space="preserve"> Inte</w:t>
      </w:r>
      <w:r>
        <w:t>rventionsbedarfe aufzuzeigen</w:t>
      </w:r>
      <w:r w:rsidRPr="001522F9">
        <w:t>.</w:t>
      </w:r>
      <w:r>
        <w:t xml:space="preserve"> Das Ortsentwicklungskonzept Regis als auch der Antrag zur Aufnahme in die Städtebauförderung spiegeln die aufgezeigten Handlungserfordernisse im Strukturentwicklungskonzept wieder.</w:t>
      </w:r>
    </w:p>
    <w:p w:rsidR="00C415F6" w:rsidRDefault="00C415F6" w:rsidP="00C415F6">
      <w:pPr>
        <w:autoSpaceDE w:val="0"/>
        <w:autoSpaceDN w:val="0"/>
        <w:adjustRightInd w:val="0"/>
        <w:jc w:val="both"/>
        <w:rPr>
          <w:rFonts w:ascii="CalibriLight" w:hAnsi="CalibriLight" w:cs="CalibriLight"/>
          <w:szCs w:val="22"/>
        </w:rPr>
      </w:pPr>
    </w:p>
    <w:p w:rsidR="00C415F6" w:rsidRDefault="00C415F6" w:rsidP="00C415F6">
      <w:pPr>
        <w:autoSpaceDE w:val="0"/>
        <w:autoSpaceDN w:val="0"/>
        <w:adjustRightInd w:val="0"/>
        <w:jc w:val="both"/>
        <w:rPr>
          <w:rFonts w:cs="Arial"/>
        </w:rPr>
      </w:pPr>
      <w:r w:rsidRPr="0029640C">
        <w:rPr>
          <w:rFonts w:cs="Arial"/>
        </w:rPr>
        <w:t xml:space="preserve">Im Jahr 2020 </w:t>
      </w:r>
      <w:r>
        <w:rPr>
          <w:rFonts w:cs="Arial"/>
        </w:rPr>
        <w:t xml:space="preserve">ist </w:t>
      </w:r>
      <w:r w:rsidRPr="0029640C">
        <w:rPr>
          <w:rFonts w:cs="Arial"/>
        </w:rPr>
        <w:t xml:space="preserve">das neue </w:t>
      </w:r>
      <w:r>
        <w:rPr>
          <w:rFonts w:cs="Arial"/>
        </w:rPr>
        <w:t>Bund-Länder-Programm „</w:t>
      </w:r>
      <w:r w:rsidRPr="00192B01">
        <w:rPr>
          <w:rFonts w:cs="Arial"/>
        </w:rPr>
        <w:t>Wachstum und nachhaltige Erneuerung</w:t>
      </w:r>
      <w:r>
        <w:rPr>
          <w:rFonts w:cs="Arial"/>
        </w:rPr>
        <w:t xml:space="preserve"> (WEP)“</w:t>
      </w:r>
      <w:r w:rsidRPr="0029640C">
        <w:rPr>
          <w:rFonts w:cs="Arial"/>
        </w:rPr>
        <w:t xml:space="preserve"> aufgelegt </w:t>
      </w:r>
      <w:r>
        <w:rPr>
          <w:rFonts w:cs="Arial"/>
        </w:rPr>
        <w:t>worden</w:t>
      </w:r>
      <w:r w:rsidRPr="0029640C">
        <w:rPr>
          <w:rFonts w:cs="Arial"/>
        </w:rPr>
        <w:t>.</w:t>
      </w:r>
      <w:r>
        <w:rPr>
          <w:rFonts w:cs="Arial"/>
        </w:rPr>
        <w:t xml:space="preserve"> </w:t>
      </w:r>
      <w:r w:rsidRPr="0029640C">
        <w:rPr>
          <w:rFonts w:cs="Arial"/>
        </w:rPr>
        <w:t xml:space="preserve">Mit dem Programm unterstützen Bund und Freistaat Sachsen die </w:t>
      </w:r>
      <w:r>
        <w:rPr>
          <w:rFonts w:cs="Arial"/>
        </w:rPr>
        <w:t xml:space="preserve">Schaffung </w:t>
      </w:r>
      <w:proofErr w:type="spellStart"/>
      <w:r>
        <w:rPr>
          <w:rFonts w:cs="Arial"/>
        </w:rPr>
        <w:t>resilienter</w:t>
      </w:r>
      <w:proofErr w:type="spellEnd"/>
      <w:r>
        <w:rPr>
          <w:rFonts w:cs="Arial"/>
        </w:rPr>
        <w:t xml:space="preserve"> städtebaulicher Strukturen in wachsenden oder schrumpfenden Städten </w:t>
      </w:r>
      <w:r>
        <w:rPr>
          <w:rFonts w:cs="Arial"/>
        </w:rPr>
        <w:lastRenderedPageBreak/>
        <w:t>und Gemeinden</w:t>
      </w:r>
      <w:r w:rsidRPr="0029640C">
        <w:rPr>
          <w:rFonts w:cs="Arial"/>
        </w:rPr>
        <w:t xml:space="preserve">. Ziel ist </w:t>
      </w:r>
      <w:r>
        <w:rPr>
          <w:rFonts w:cs="Arial"/>
        </w:rPr>
        <w:t>die Beseitigungen von erheblichen Funktionsverlusten und Strukturveränderungen sowie die Schaffung von nachhaltigen Quartieren</w:t>
      </w:r>
      <w:r w:rsidRPr="0029640C">
        <w:rPr>
          <w:rFonts w:cs="Arial"/>
        </w:rPr>
        <w:t>.</w:t>
      </w:r>
      <w:r>
        <w:rPr>
          <w:rFonts w:cs="Arial"/>
        </w:rPr>
        <w:t xml:space="preserve"> </w:t>
      </w:r>
    </w:p>
    <w:p w:rsidR="00C415F6" w:rsidRDefault="00C415F6" w:rsidP="00C415F6">
      <w:pPr>
        <w:autoSpaceDE w:val="0"/>
        <w:autoSpaceDN w:val="0"/>
        <w:adjustRightInd w:val="0"/>
        <w:jc w:val="both"/>
        <w:rPr>
          <w:rFonts w:cs="Arial"/>
        </w:rPr>
      </w:pPr>
    </w:p>
    <w:p w:rsidR="00C415F6" w:rsidRPr="00604D7F" w:rsidRDefault="00C415F6" w:rsidP="00C415F6">
      <w:pPr>
        <w:autoSpaceDE w:val="0"/>
        <w:autoSpaceDN w:val="0"/>
        <w:adjustRightInd w:val="0"/>
        <w:jc w:val="both"/>
        <w:rPr>
          <w:rFonts w:cs="Arial"/>
        </w:rPr>
      </w:pPr>
      <w:r w:rsidRPr="0029640C">
        <w:rPr>
          <w:rFonts w:cs="Arial"/>
        </w:rPr>
        <w:t>Im Rahmen einer Anteilfinanzierung beträgt die Höhe der Zuwendung 66</w:t>
      </w:r>
      <w:r>
        <w:rPr>
          <w:rFonts w:cs="Arial"/>
        </w:rPr>
        <w:t>,6</w:t>
      </w:r>
      <w:r w:rsidRPr="0029640C">
        <w:rPr>
          <w:rFonts w:cs="Arial"/>
        </w:rPr>
        <w:t xml:space="preserve"> </w:t>
      </w:r>
      <w:r>
        <w:rPr>
          <w:rFonts w:cs="Arial"/>
        </w:rPr>
        <w:t>(</w:t>
      </w:r>
      <w:r w:rsidRPr="0029640C">
        <w:rPr>
          <w:rFonts w:cs="Arial"/>
        </w:rPr>
        <w:t>2/3</w:t>
      </w:r>
      <w:r>
        <w:rPr>
          <w:rFonts w:cs="Arial"/>
        </w:rPr>
        <w:t>)</w:t>
      </w:r>
      <w:r w:rsidRPr="0029640C">
        <w:rPr>
          <w:rFonts w:cs="Arial"/>
        </w:rPr>
        <w:t xml:space="preserve"> Prozent der zuwendungsfähigen und durch den Förderrahmen bestimmten Ausgaben. Die Zuwendung setzt sich zu gleichen Teilen aus Bundes- und Landesmitteln zusammen. Neben den Bundes- und Landesmitteln ist die Erbringung eines Eigenanteils zu 33</w:t>
      </w:r>
      <w:r>
        <w:rPr>
          <w:rFonts w:cs="Arial"/>
        </w:rPr>
        <w:t>,3</w:t>
      </w:r>
      <w:r w:rsidRPr="0029640C">
        <w:rPr>
          <w:rFonts w:cs="Arial"/>
        </w:rPr>
        <w:t xml:space="preserve"> </w:t>
      </w:r>
      <w:r>
        <w:rPr>
          <w:rFonts w:cs="Arial"/>
        </w:rPr>
        <w:t>(</w:t>
      </w:r>
      <w:r w:rsidRPr="0029640C">
        <w:rPr>
          <w:rFonts w:cs="Arial"/>
        </w:rPr>
        <w:t>1/3</w:t>
      </w:r>
      <w:r>
        <w:rPr>
          <w:rFonts w:cs="Arial"/>
        </w:rPr>
        <w:t>)</w:t>
      </w:r>
      <w:r w:rsidRPr="0029640C">
        <w:rPr>
          <w:rFonts w:cs="Arial"/>
        </w:rPr>
        <w:t xml:space="preserve"> Prozent durch die </w:t>
      </w:r>
      <w:r>
        <w:rPr>
          <w:rFonts w:cs="Arial"/>
        </w:rPr>
        <w:t>Stadt</w:t>
      </w:r>
      <w:r w:rsidRPr="0029640C">
        <w:rPr>
          <w:rFonts w:cs="Arial"/>
        </w:rPr>
        <w:t xml:space="preserve"> erforderlich</w:t>
      </w:r>
      <w:r>
        <w:rPr>
          <w:rFonts w:cs="Arial"/>
        </w:rPr>
        <w:t xml:space="preserve"> (plus eventuelle nicht förderfähige Kostenanteile)</w:t>
      </w:r>
      <w:r w:rsidRPr="0029640C">
        <w:rPr>
          <w:rFonts w:cs="Arial"/>
        </w:rPr>
        <w:t>.</w:t>
      </w:r>
      <w:r>
        <w:rPr>
          <w:rFonts w:cs="Arial"/>
        </w:rPr>
        <w:t xml:space="preserve"> </w:t>
      </w:r>
      <w:r w:rsidRPr="00AC34B8">
        <w:rPr>
          <w:rFonts w:cs="Arial"/>
        </w:rPr>
        <w:t xml:space="preserve">Der Investitionsbedarf im Fördergebiet </w:t>
      </w:r>
      <w:r w:rsidRPr="00AE3AB7">
        <w:rPr>
          <w:rFonts w:cs="Arial"/>
        </w:rPr>
        <w:t>„</w:t>
      </w:r>
      <w:r>
        <w:rPr>
          <w:rFonts w:cs="Arial"/>
        </w:rPr>
        <w:t>Kernstadt</w:t>
      </w:r>
      <w:r w:rsidRPr="00AE3AB7">
        <w:rPr>
          <w:rFonts w:cs="Arial"/>
        </w:rPr>
        <w:t>“</w:t>
      </w:r>
      <w:r w:rsidRPr="00AC34B8">
        <w:rPr>
          <w:rFonts w:cs="Arial"/>
        </w:rPr>
        <w:t xml:space="preserve"> beläuft</w:t>
      </w:r>
      <w:r w:rsidRPr="00604D7F">
        <w:rPr>
          <w:rFonts w:cs="Arial"/>
        </w:rPr>
        <w:t xml:space="preserve"> sich in den nächsten </w:t>
      </w:r>
      <w:r>
        <w:rPr>
          <w:rFonts w:cs="Arial"/>
        </w:rPr>
        <w:t>fünfzehn</w:t>
      </w:r>
      <w:r w:rsidRPr="00604D7F">
        <w:rPr>
          <w:rFonts w:cs="Arial"/>
        </w:rPr>
        <w:t xml:space="preserve"> Jahren auf ca. </w:t>
      </w:r>
      <w:r>
        <w:rPr>
          <w:rFonts w:cs="Arial"/>
        </w:rPr>
        <w:t xml:space="preserve">15 </w:t>
      </w:r>
      <w:r w:rsidRPr="00604D7F">
        <w:rPr>
          <w:rFonts w:cs="Arial"/>
        </w:rPr>
        <w:t>Mio. €</w:t>
      </w:r>
      <w:r>
        <w:rPr>
          <w:rFonts w:cs="Arial"/>
        </w:rPr>
        <w:t>. Die im Rahmen der Städtebauförderung beantragten förderfähigen Kosten liegen bei ca. 14,98 Mio. €,</w:t>
      </w:r>
      <w:r w:rsidRPr="00604D7F">
        <w:rPr>
          <w:rFonts w:cs="Arial"/>
        </w:rPr>
        <w:t xml:space="preserve"> mit geplanten Fördermitteln in Höhe von </w:t>
      </w:r>
      <w:r>
        <w:rPr>
          <w:rFonts w:cs="Arial"/>
        </w:rPr>
        <w:t>ca. 9,99</w:t>
      </w:r>
      <w:r w:rsidRPr="00604D7F">
        <w:rPr>
          <w:rFonts w:cs="Arial"/>
        </w:rPr>
        <w:t xml:space="preserve"> Mio. € und benötigten Eigenmitteln in Höhe von </w:t>
      </w:r>
      <w:r>
        <w:rPr>
          <w:rFonts w:cs="Arial"/>
        </w:rPr>
        <w:t>ca. 4,99</w:t>
      </w:r>
      <w:r w:rsidRPr="00604D7F">
        <w:rPr>
          <w:rFonts w:cs="Arial"/>
        </w:rPr>
        <w:t xml:space="preserve"> Mio. € (regulärer Komplementäranteil zur Städtebauförderung, 1/3). </w:t>
      </w:r>
    </w:p>
    <w:p w:rsidR="00C415F6" w:rsidRDefault="00C415F6" w:rsidP="00C415F6">
      <w:pPr>
        <w:autoSpaceDE w:val="0"/>
        <w:autoSpaceDN w:val="0"/>
        <w:adjustRightInd w:val="0"/>
        <w:jc w:val="both"/>
        <w:rPr>
          <w:szCs w:val="22"/>
        </w:rPr>
      </w:pPr>
      <w:r w:rsidRPr="00604D7F">
        <w:rPr>
          <w:rFonts w:cs="Arial"/>
        </w:rPr>
        <w:t xml:space="preserve">Die Umsetzung der geplanten Maßnahmen im Rahmen der Gesamtmaßnahme steht unter dem Vorbehalt der Einstellung der Eigenmittel in den Haushaltplan der </w:t>
      </w:r>
      <w:r>
        <w:rPr>
          <w:rFonts w:cs="Arial"/>
        </w:rPr>
        <w:t>Stadt</w:t>
      </w:r>
      <w:r w:rsidRPr="00604D7F">
        <w:rPr>
          <w:rFonts w:cs="Arial"/>
        </w:rPr>
        <w:t xml:space="preserve"> und der Bereitstellung der </w:t>
      </w:r>
      <w:r w:rsidRPr="00FF41A5">
        <w:rPr>
          <w:rFonts w:cs="Arial"/>
        </w:rPr>
        <w:t>Finanzhilfen durch die Bewilligungsstelle SAB (Sächsische Aufbaubank)</w:t>
      </w:r>
      <w:r w:rsidRPr="00604D7F">
        <w:rPr>
          <w:rFonts w:cs="Arial"/>
        </w:rPr>
        <w:t>.</w:t>
      </w:r>
      <w:r w:rsidRPr="00604D7F">
        <w:rPr>
          <w:szCs w:val="22"/>
        </w:rPr>
        <w:t xml:space="preserve"> Die Bereitstellung der Eigenmittel ist deshalb bei der weiteren Haushaltplanung zu berücksichtigen und Voraussetzung für die Gewährung der Förderung.</w:t>
      </w:r>
    </w:p>
    <w:p w:rsidR="00C415F6" w:rsidRDefault="00C415F6" w:rsidP="00C415F6">
      <w:pPr>
        <w:autoSpaceDE w:val="0"/>
        <w:autoSpaceDN w:val="0"/>
        <w:adjustRightInd w:val="0"/>
        <w:jc w:val="both"/>
        <w:rPr>
          <w:szCs w:val="22"/>
        </w:rPr>
      </w:pPr>
    </w:p>
    <w:p w:rsidR="008B7D1C" w:rsidRPr="00AF33B5" w:rsidRDefault="008B7D1C" w:rsidP="006B7368">
      <w:pPr>
        <w:rPr>
          <w:rFonts w:ascii="Unit-Regular" w:hAnsi="Unit-Regular"/>
          <w:sz w:val="22"/>
          <w:szCs w:val="22"/>
        </w:rPr>
      </w:pPr>
      <w:bookmarkStart w:id="0" w:name="_GoBack"/>
      <w:bookmarkEnd w:id="0"/>
    </w:p>
    <w:p w:rsidR="00117694" w:rsidRPr="00117694" w:rsidRDefault="00117694" w:rsidP="00117694">
      <w:pPr>
        <w:jc w:val="both"/>
        <w:rPr>
          <w:rFonts w:ascii="Unit-Regular" w:hAnsi="Unit-Regular"/>
          <w:sz w:val="22"/>
          <w:szCs w:val="18"/>
        </w:rPr>
      </w:pPr>
      <w:r w:rsidRPr="00117694">
        <w:rPr>
          <w:rFonts w:ascii="Unit-Regular" w:hAnsi="Unit-Regular"/>
          <w:sz w:val="22"/>
          <w:szCs w:val="18"/>
        </w:rPr>
        <w:t xml:space="preserve">Von der Beratung und Beschlussfassung war kein Mitglied des </w:t>
      </w:r>
      <w:r w:rsidR="00374152">
        <w:rPr>
          <w:rFonts w:ascii="Unit-Regular" w:hAnsi="Unit-Regular"/>
          <w:sz w:val="22"/>
          <w:szCs w:val="18"/>
        </w:rPr>
        <w:t>Stadtrates</w:t>
      </w:r>
      <w:r w:rsidRPr="00117694">
        <w:rPr>
          <w:rFonts w:ascii="Unit-Regular" w:hAnsi="Unit-Regular"/>
          <w:sz w:val="22"/>
          <w:szCs w:val="18"/>
        </w:rPr>
        <w:t xml:space="preserve"> ausgeschlossen.</w:t>
      </w:r>
    </w:p>
    <w:p w:rsidR="00532445" w:rsidRDefault="00532445" w:rsidP="006B7368">
      <w:pPr>
        <w:rPr>
          <w:rFonts w:ascii="Unit-Regular" w:hAnsi="Unit-Regular"/>
          <w:sz w:val="18"/>
          <w:szCs w:val="18"/>
        </w:rPr>
      </w:pPr>
    </w:p>
    <w:p w:rsidR="00532445" w:rsidRPr="004A5171" w:rsidRDefault="00532445" w:rsidP="006B7368">
      <w:pPr>
        <w:rPr>
          <w:rFonts w:ascii="Unit-Regular" w:hAnsi="Unit-Regular"/>
          <w:sz w:val="18"/>
          <w:szCs w:val="18"/>
        </w:rPr>
      </w:pPr>
    </w:p>
    <w:p w:rsidR="00A97819" w:rsidRPr="007B3212" w:rsidRDefault="00A97819" w:rsidP="00A97819">
      <w:pPr>
        <w:pStyle w:val="Textkrper"/>
        <w:rPr>
          <w:rFonts w:ascii="Unit-Regular" w:hAnsi="Unit-Regular"/>
          <w:b/>
        </w:rPr>
      </w:pPr>
      <w:r w:rsidRPr="007B3212">
        <w:rPr>
          <w:rFonts w:ascii="Unit-Regular" w:hAnsi="Unit-Regular"/>
          <w:b/>
        </w:rPr>
        <w:t>Abstimmungsergebnis:</w:t>
      </w:r>
    </w:p>
    <w:tbl>
      <w:tblPr>
        <w:tblStyle w:val="Tabellenraster"/>
        <w:tblW w:w="9067" w:type="dxa"/>
        <w:tblLook w:val="04A0" w:firstRow="1" w:lastRow="0" w:firstColumn="1" w:lastColumn="0" w:noHBand="0" w:noVBand="1"/>
      </w:tblPr>
      <w:tblGrid>
        <w:gridCol w:w="3871"/>
        <w:gridCol w:w="660"/>
        <w:gridCol w:w="3828"/>
        <w:gridCol w:w="708"/>
      </w:tblGrid>
      <w:tr w:rsidR="00A97819" w:rsidRPr="007B3212" w:rsidTr="00117694">
        <w:trPr>
          <w:trHeight w:val="454"/>
        </w:trPr>
        <w:tc>
          <w:tcPr>
            <w:tcW w:w="3871" w:type="dxa"/>
            <w:tcBorders>
              <w:top w:val="single" w:sz="4" w:space="0" w:color="auto"/>
              <w:left w:val="single" w:sz="4" w:space="0" w:color="auto"/>
              <w:bottom w:val="thinThickSmallGap" w:sz="18" w:space="0" w:color="auto"/>
              <w:right w:val="single" w:sz="4" w:space="0" w:color="auto"/>
            </w:tcBorders>
            <w:vAlign w:val="center"/>
            <w:hideMark/>
          </w:tcPr>
          <w:p w:rsidR="00A97819" w:rsidRPr="007B3212" w:rsidRDefault="00AF33B5" w:rsidP="007B3212">
            <w:pPr>
              <w:ind w:left="0" w:firstLine="0"/>
              <w:rPr>
                <w:rFonts w:ascii="Unit-Regular" w:hAnsi="Unit-Regular"/>
                <w:b/>
                <w:sz w:val="22"/>
                <w:szCs w:val="24"/>
                <w:lang w:eastAsia="en-US"/>
              </w:rPr>
            </w:pPr>
            <w:r>
              <w:rPr>
                <w:rFonts w:ascii="Unit-Regular" w:hAnsi="Unit-Regular"/>
                <w:sz w:val="22"/>
                <w:szCs w:val="24"/>
                <w:lang w:eastAsia="en-US"/>
              </w:rPr>
              <w:t>Mitglieder Stadtrat</w:t>
            </w:r>
          </w:p>
        </w:tc>
        <w:tc>
          <w:tcPr>
            <w:tcW w:w="660" w:type="dxa"/>
            <w:tcBorders>
              <w:top w:val="single" w:sz="4" w:space="0" w:color="auto"/>
              <w:left w:val="single" w:sz="4" w:space="0" w:color="auto"/>
              <w:bottom w:val="thinThickSmallGap" w:sz="18" w:space="0" w:color="auto"/>
              <w:right w:val="single" w:sz="4" w:space="0" w:color="auto"/>
            </w:tcBorders>
            <w:vAlign w:val="center"/>
            <w:hideMark/>
          </w:tcPr>
          <w:p w:rsidR="00A97819" w:rsidRPr="007B3212" w:rsidRDefault="00AF33B5" w:rsidP="001564B2">
            <w:pPr>
              <w:ind w:left="0" w:firstLine="0"/>
              <w:jc w:val="center"/>
              <w:rPr>
                <w:rFonts w:ascii="Unit-Regular" w:hAnsi="Unit-Regular"/>
                <w:sz w:val="22"/>
                <w:szCs w:val="24"/>
                <w:lang w:eastAsia="en-US"/>
              </w:rPr>
            </w:pPr>
            <w:r>
              <w:rPr>
                <w:rFonts w:ascii="Unit-Regular" w:hAnsi="Unit-Regular"/>
                <w:sz w:val="22"/>
                <w:szCs w:val="24"/>
                <w:lang w:eastAsia="en-US"/>
              </w:rPr>
              <w:t>1</w:t>
            </w:r>
            <w:r w:rsidR="001564B2">
              <w:rPr>
                <w:rFonts w:ascii="Unit-Regular" w:hAnsi="Unit-Regular"/>
                <w:sz w:val="22"/>
                <w:szCs w:val="24"/>
                <w:lang w:eastAsia="en-US"/>
              </w:rPr>
              <w:t>5</w:t>
            </w:r>
          </w:p>
        </w:tc>
        <w:tc>
          <w:tcPr>
            <w:tcW w:w="3828" w:type="dxa"/>
            <w:tcBorders>
              <w:top w:val="single" w:sz="4" w:space="0" w:color="auto"/>
              <w:left w:val="single" w:sz="4" w:space="0" w:color="auto"/>
              <w:bottom w:val="thinThickSmallGap" w:sz="18" w:space="0" w:color="auto"/>
              <w:right w:val="single" w:sz="4" w:space="0" w:color="auto"/>
            </w:tcBorders>
            <w:vAlign w:val="center"/>
            <w:hideMark/>
          </w:tcPr>
          <w:p w:rsidR="00A97819" w:rsidRPr="007B3212" w:rsidRDefault="00A97819" w:rsidP="007B3212">
            <w:pPr>
              <w:ind w:left="0" w:firstLine="0"/>
              <w:rPr>
                <w:rFonts w:ascii="Unit-Regular" w:hAnsi="Unit-Regular"/>
                <w:sz w:val="22"/>
                <w:szCs w:val="24"/>
                <w:lang w:eastAsia="en-US"/>
              </w:rPr>
            </w:pPr>
            <w:r w:rsidRPr="007B3212">
              <w:rPr>
                <w:rFonts w:ascii="Unit-Regular" w:hAnsi="Unit-Regular"/>
                <w:sz w:val="22"/>
                <w:szCs w:val="24"/>
                <w:lang w:eastAsia="en-US"/>
              </w:rPr>
              <w:t>davon anwesend</w:t>
            </w:r>
          </w:p>
        </w:tc>
        <w:tc>
          <w:tcPr>
            <w:tcW w:w="708" w:type="dxa"/>
            <w:tcBorders>
              <w:top w:val="single" w:sz="4" w:space="0" w:color="auto"/>
              <w:left w:val="single" w:sz="4" w:space="0" w:color="auto"/>
              <w:bottom w:val="thinThickSmallGap" w:sz="18" w:space="0" w:color="auto"/>
              <w:right w:val="single" w:sz="4" w:space="0" w:color="auto"/>
            </w:tcBorders>
            <w:vAlign w:val="center"/>
          </w:tcPr>
          <w:p w:rsidR="00A97819" w:rsidRPr="007B3212" w:rsidRDefault="00AF33B5" w:rsidP="00117694">
            <w:pPr>
              <w:jc w:val="center"/>
              <w:rPr>
                <w:rFonts w:ascii="Unit-Regular" w:hAnsi="Unit-Regular"/>
                <w:sz w:val="22"/>
                <w:szCs w:val="24"/>
                <w:lang w:eastAsia="en-US"/>
              </w:rPr>
            </w:pPr>
            <w:r>
              <w:rPr>
                <w:rFonts w:ascii="Unit-Regular" w:hAnsi="Unit-Regular"/>
                <w:sz w:val="22"/>
                <w:szCs w:val="24"/>
                <w:lang w:eastAsia="en-US"/>
              </w:rPr>
              <w:t xml:space="preserve">   </w:t>
            </w:r>
          </w:p>
        </w:tc>
      </w:tr>
      <w:tr w:rsidR="00A97819" w:rsidRPr="007B3212" w:rsidTr="00117694">
        <w:trPr>
          <w:trHeight w:val="454"/>
        </w:trPr>
        <w:tc>
          <w:tcPr>
            <w:tcW w:w="3871" w:type="dxa"/>
            <w:tcBorders>
              <w:top w:val="thinThickSmallGap" w:sz="18" w:space="0" w:color="auto"/>
              <w:left w:val="single" w:sz="4" w:space="0" w:color="auto"/>
              <w:bottom w:val="single" w:sz="4" w:space="0" w:color="auto"/>
              <w:right w:val="single" w:sz="4" w:space="0" w:color="auto"/>
            </w:tcBorders>
            <w:vAlign w:val="center"/>
            <w:hideMark/>
          </w:tcPr>
          <w:p w:rsidR="00A97819" w:rsidRPr="007B3212" w:rsidRDefault="007E17BC" w:rsidP="007B3212">
            <w:pPr>
              <w:ind w:left="0" w:firstLine="22"/>
              <w:rPr>
                <w:rFonts w:ascii="Unit-Regular" w:hAnsi="Unit-Regular"/>
                <w:sz w:val="22"/>
                <w:szCs w:val="24"/>
                <w:lang w:eastAsia="en-US"/>
              </w:rPr>
            </w:pPr>
            <w:r>
              <w:rPr>
                <w:rFonts w:ascii="Unit-Regular" w:hAnsi="Unit-Regular"/>
                <w:sz w:val="22"/>
                <w:szCs w:val="24"/>
                <w:lang w:eastAsia="en-US"/>
              </w:rPr>
              <w:t>Ja-</w:t>
            </w:r>
            <w:r w:rsidR="00A97819" w:rsidRPr="007B3212">
              <w:rPr>
                <w:rFonts w:ascii="Unit-Regular" w:hAnsi="Unit-Regular"/>
                <w:sz w:val="22"/>
                <w:szCs w:val="24"/>
                <w:lang w:eastAsia="en-US"/>
              </w:rPr>
              <w:t>Stimmen</w:t>
            </w:r>
          </w:p>
        </w:tc>
        <w:tc>
          <w:tcPr>
            <w:tcW w:w="660" w:type="dxa"/>
            <w:tcBorders>
              <w:top w:val="thinThickSmallGap" w:sz="18" w:space="0" w:color="auto"/>
              <w:left w:val="single" w:sz="4" w:space="0" w:color="auto"/>
              <w:bottom w:val="single" w:sz="4" w:space="0" w:color="auto"/>
              <w:right w:val="single" w:sz="8" w:space="0" w:color="auto"/>
            </w:tcBorders>
            <w:vAlign w:val="center"/>
          </w:tcPr>
          <w:p w:rsidR="00A97819" w:rsidRPr="007B3212" w:rsidRDefault="00A97819" w:rsidP="007B3212">
            <w:pPr>
              <w:ind w:left="0" w:firstLine="0"/>
              <w:jc w:val="center"/>
              <w:rPr>
                <w:rFonts w:ascii="Unit-Regular" w:hAnsi="Unit-Regular"/>
                <w:sz w:val="22"/>
                <w:szCs w:val="24"/>
                <w:lang w:eastAsia="en-US"/>
              </w:rPr>
            </w:pPr>
          </w:p>
        </w:tc>
        <w:tc>
          <w:tcPr>
            <w:tcW w:w="3828" w:type="dxa"/>
            <w:tcBorders>
              <w:top w:val="thinThickSmallGap" w:sz="18" w:space="0" w:color="auto"/>
              <w:left w:val="single" w:sz="8" w:space="0" w:color="auto"/>
              <w:bottom w:val="single" w:sz="4" w:space="0" w:color="auto"/>
              <w:right w:val="single" w:sz="4" w:space="0" w:color="auto"/>
            </w:tcBorders>
            <w:vAlign w:val="center"/>
            <w:hideMark/>
          </w:tcPr>
          <w:p w:rsidR="00A97819" w:rsidRPr="007B3212" w:rsidRDefault="00A97819" w:rsidP="007B3212">
            <w:pPr>
              <w:ind w:left="0" w:firstLine="0"/>
              <w:rPr>
                <w:rFonts w:ascii="Unit-Regular" w:hAnsi="Unit-Regular"/>
                <w:sz w:val="22"/>
                <w:szCs w:val="24"/>
                <w:lang w:eastAsia="en-US"/>
              </w:rPr>
            </w:pPr>
            <w:r w:rsidRPr="007B3212">
              <w:rPr>
                <w:rFonts w:ascii="Unit-Regular" w:hAnsi="Unit-Regular"/>
                <w:sz w:val="22"/>
                <w:szCs w:val="24"/>
                <w:lang w:eastAsia="en-US"/>
              </w:rPr>
              <w:t>Nein-Stimmen</w:t>
            </w:r>
          </w:p>
        </w:tc>
        <w:tc>
          <w:tcPr>
            <w:tcW w:w="708" w:type="dxa"/>
            <w:tcBorders>
              <w:top w:val="thinThickSmallGap" w:sz="18" w:space="0" w:color="auto"/>
              <w:left w:val="single" w:sz="4" w:space="0" w:color="auto"/>
              <w:bottom w:val="single" w:sz="4" w:space="0" w:color="auto"/>
              <w:right w:val="single" w:sz="4" w:space="0" w:color="auto"/>
            </w:tcBorders>
            <w:vAlign w:val="center"/>
          </w:tcPr>
          <w:p w:rsidR="00A97819" w:rsidRPr="007B3212" w:rsidRDefault="00AF33B5" w:rsidP="00117694">
            <w:pPr>
              <w:jc w:val="center"/>
              <w:rPr>
                <w:rFonts w:ascii="Unit-Regular" w:hAnsi="Unit-Regular"/>
                <w:sz w:val="22"/>
                <w:szCs w:val="24"/>
                <w:lang w:eastAsia="en-US"/>
              </w:rPr>
            </w:pPr>
            <w:r>
              <w:rPr>
                <w:rFonts w:ascii="Unit-Regular" w:hAnsi="Unit-Regular"/>
                <w:sz w:val="22"/>
                <w:szCs w:val="24"/>
                <w:lang w:eastAsia="en-US"/>
              </w:rPr>
              <w:t xml:space="preserve">   </w:t>
            </w:r>
          </w:p>
        </w:tc>
      </w:tr>
      <w:tr w:rsidR="00A97819" w:rsidRPr="007B3212" w:rsidTr="00117694">
        <w:trPr>
          <w:trHeight w:val="454"/>
        </w:trPr>
        <w:tc>
          <w:tcPr>
            <w:tcW w:w="3871" w:type="dxa"/>
            <w:tcBorders>
              <w:top w:val="single" w:sz="4" w:space="0" w:color="auto"/>
              <w:left w:val="single" w:sz="4" w:space="0" w:color="auto"/>
              <w:bottom w:val="double" w:sz="4" w:space="0" w:color="auto"/>
              <w:right w:val="single" w:sz="4" w:space="0" w:color="auto"/>
            </w:tcBorders>
            <w:vAlign w:val="center"/>
            <w:hideMark/>
          </w:tcPr>
          <w:p w:rsidR="00A97819" w:rsidRPr="007B3212" w:rsidRDefault="00A97819" w:rsidP="007B3212">
            <w:pPr>
              <w:ind w:left="0" w:firstLine="22"/>
              <w:rPr>
                <w:rFonts w:ascii="Unit-Regular" w:hAnsi="Unit-Regular"/>
                <w:sz w:val="22"/>
                <w:szCs w:val="24"/>
                <w:lang w:eastAsia="en-US"/>
              </w:rPr>
            </w:pPr>
            <w:r w:rsidRPr="007B3212">
              <w:rPr>
                <w:rFonts w:ascii="Unit-Regular" w:hAnsi="Unit-Regular"/>
                <w:sz w:val="22"/>
                <w:szCs w:val="24"/>
                <w:lang w:eastAsia="en-US"/>
              </w:rPr>
              <w:t>Stimmenthaltungen</w:t>
            </w:r>
          </w:p>
        </w:tc>
        <w:tc>
          <w:tcPr>
            <w:tcW w:w="660" w:type="dxa"/>
            <w:tcBorders>
              <w:top w:val="single" w:sz="4" w:space="0" w:color="auto"/>
              <w:left w:val="single" w:sz="4" w:space="0" w:color="auto"/>
              <w:bottom w:val="double" w:sz="4" w:space="0" w:color="auto"/>
              <w:right w:val="single" w:sz="8" w:space="0" w:color="auto"/>
            </w:tcBorders>
            <w:vAlign w:val="center"/>
          </w:tcPr>
          <w:p w:rsidR="00A97819" w:rsidRPr="007B3212" w:rsidRDefault="00A97819" w:rsidP="007B3212">
            <w:pPr>
              <w:ind w:left="0" w:firstLine="0"/>
              <w:jc w:val="center"/>
              <w:rPr>
                <w:rFonts w:ascii="Unit-Regular" w:hAnsi="Unit-Regular"/>
                <w:sz w:val="22"/>
                <w:szCs w:val="24"/>
                <w:lang w:eastAsia="en-US"/>
              </w:rPr>
            </w:pPr>
          </w:p>
        </w:tc>
        <w:tc>
          <w:tcPr>
            <w:tcW w:w="3828" w:type="dxa"/>
            <w:tcBorders>
              <w:top w:val="single" w:sz="4" w:space="0" w:color="auto"/>
              <w:left w:val="single" w:sz="8" w:space="0" w:color="auto"/>
              <w:bottom w:val="double" w:sz="4" w:space="0" w:color="auto"/>
              <w:right w:val="single" w:sz="4" w:space="0" w:color="auto"/>
            </w:tcBorders>
            <w:vAlign w:val="center"/>
          </w:tcPr>
          <w:p w:rsidR="00A97819" w:rsidRPr="007B3212" w:rsidRDefault="00A97819" w:rsidP="007B3212">
            <w:pPr>
              <w:ind w:left="0" w:firstLine="0"/>
              <w:rPr>
                <w:rFonts w:ascii="Unit-Regular" w:hAnsi="Unit-Regular"/>
                <w:sz w:val="22"/>
                <w:szCs w:val="24"/>
                <w:lang w:eastAsia="en-US"/>
              </w:rPr>
            </w:pPr>
          </w:p>
        </w:tc>
        <w:tc>
          <w:tcPr>
            <w:tcW w:w="708" w:type="dxa"/>
            <w:tcBorders>
              <w:top w:val="single" w:sz="4" w:space="0" w:color="auto"/>
              <w:left w:val="single" w:sz="4" w:space="0" w:color="auto"/>
              <w:bottom w:val="double" w:sz="4" w:space="0" w:color="auto"/>
              <w:right w:val="single" w:sz="4" w:space="0" w:color="auto"/>
            </w:tcBorders>
            <w:vAlign w:val="center"/>
          </w:tcPr>
          <w:p w:rsidR="00A97819" w:rsidRPr="007B3212" w:rsidRDefault="00A97819" w:rsidP="00117694">
            <w:pPr>
              <w:jc w:val="center"/>
              <w:rPr>
                <w:rFonts w:ascii="Unit-Regular" w:hAnsi="Unit-Regular"/>
                <w:sz w:val="22"/>
                <w:szCs w:val="24"/>
                <w:lang w:eastAsia="en-US"/>
              </w:rPr>
            </w:pPr>
          </w:p>
        </w:tc>
      </w:tr>
      <w:tr w:rsidR="00A97819" w:rsidRPr="007B3212" w:rsidTr="00117694">
        <w:trPr>
          <w:trHeight w:val="454"/>
        </w:trPr>
        <w:tc>
          <w:tcPr>
            <w:tcW w:w="3871" w:type="dxa"/>
            <w:tcBorders>
              <w:top w:val="double" w:sz="4" w:space="0" w:color="auto"/>
              <w:left w:val="single" w:sz="4" w:space="0" w:color="auto"/>
              <w:bottom w:val="single" w:sz="4" w:space="0" w:color="auto"/>
              <w:right w:val="single" w:sz="4" w:space="0" w:color="auto"/>
            </w:tcBorders>
            <w:vAlign w:val="center"/>
            <w:hideMark/>
          </w:tcPr>
          <w:p w:rsidR="00A97819" w:rsidRPr="007B3212" w:rsidRDefault="00A97819" w:rsidP="007B3212">
            <w:pPr>
              <w:ind w:left="0" w:firstLine="22"/>
              <w:rPr>
                <w:rFonts w:ascii="Unit-Regular" w:hAnsi="Unit-Regular"/>
                <w:b/>
                <w:sz w:val="22"/>
                <w:szCs w:val="24"/>
                <w:lang w:eastAsia="en-US"/>
              </w:rPr>
            </w:pPr>
            <w:r w:rsidRPr="007B3212">
              <w:rPr>
                <w:rFonts w:ascii="Unit-Regular" w:hAnsi="Unit-Regular"/>
                <w:b/>
                <w:sz w:val="22"/>
                <w:szCs w:val="24"/>
                <w:lang w:eastAsia="en-US"/>
              </w:rPr>
              <w:t>beschlossen</w:t>
            </w:r>
          </w:p>
        </w:tc>
        <w:tc>
          <w:tcPr>
            <w:tcW w:w="660" w:type="dxa"/>
            <w:tcBorders>
              <w:top w:val="double" w:sz="4" w:space="0" w:color="auto"/>
              <w:left w:val="single" w:sz="4" w:space="0" w:color="auto"/>
              <w:bottom w:val="single" w:sz="4" w:space="0" w:color="auto"/>
              <w:right w:val="single" w:sz="4" w:space="0" w:color="auto"/>
            </w:tcBorders>
            <w:vAlign w:val="center"/>
          </w:tcPr>
          <w:p w:rsidR="00A97819" w:rsidRPr="007B3212" w:rsidRDefault="00A97819" w:rsidP="007B3212">
            <w:pPr>
              <w:ind w:left="0" w:firstLine="0"/>
              <w:jc w:val="center"/>
              <w:rPr>
                <w:rFonts w:ascii="Unit-Regular" w:hAnsi="Unit-Regular"/>
                <w:b/>
                <w:sz w:val="22"/>
                <w:szCs w:val="24"/>
                <w:lang w:eastAsia="en-US"/>
              </w:rPr>
            </w:pPr>
          </w:p>
        </w:tc>
        <w:tc>
          <w:tcPr>
            <w:tcW w:w="3828" w:type="dxa"/>
            <w:tcBorders>
              <w:top w:val="double" w:sz="4" w:space="0" w:color="auto"/>
              <w:left w:val="single" w:sz="4" w:space="0" w:color="auto"/>
              <w:bottom w:val="single" w:sz="4" w:space="0" w:color="auto"/>
              <w:right w:val="single" w:sz="4" w:space="0" w:color="auto"/>
            </w:tcBorders>
            <w:vAlign w:val="center"/>
            <w:hideMark/>
          </w:tcPr>
          <w:p w:rsidR="00A97819" w:rsidRPr="007B3212" w:rsidRDefault="00A97819" w:rsidP="007B3212">
            <w:pPr>
              <w:ind w:left="0" w:firstLine="0"/>
              <w:rPr>
                <w:rFonts w:ascii="Unit-Regular" w:hAnsi="Unit-Regular"/>
                <w:b/>
                <w:sz w:val="22"/>
                <w:szCs w:val="24"/>
                <w:lang w:eastAsia="en-US"/>
              </w:rPr>
            </w:pPr>
            <w:r w:rsidRPr="007B3212">
              <w:rPr>
                <w:rFonts w:ascii="Unit-Regular" w:hAnsi="Unit-Regular"/>
                <w:b/>
                <w:sz w:val="22"/>
                <w:szCs w:val="24"/>
                <w:lang w:eastAsia="en-US"/>
              </w:rPr>
              <w:t>nicht beschlossen</w:t>
            </w:r>
          </w:p>
        </w:tc>
        <w:tc>
          <w:tcPr>
            <w:tcW w:w="708" w:type="dxa"/>
            <w:tcBorders>
              <w:top w:val="double" w:sz="4" w:space="0" w:color="auto"/>
              <w:left w:val="single" w:sz="4" w:space="0" w:color="auto"/>
              <w:bottom w:val="single" w:sz="4" w:space="0" w:color="auto"/>
              <w:right w:val="single" w:sz="4" w:space="0" w:color="auto"/>
            </w:tcBorders>
            <w:vAlign w:val="center"/>
          </w:tcPr>
          <w:p w:rsidR="00A97819" w:rsidRPr="007B3212" w:rsidRDefault="00A97819" w:rsidP="00117694">
            <w:pPr>
              <w:jc w:val="center"/>
              <w:rPr>
                <w:rFonts w:ascii="Unit-Regular" w:hAnsi="Unit-Regular"/>
                <w:b/>
                <w:sz w:val="22"/>
                <w:szCs w:val="24"/>
                <w:lang w:eastAsia="en-US"/>
              </w:rPr>
            </w:pPr>
          </w:p>
        </w:tc>
      </w:tr>
    </w:tbl>
    <w:p w:rsidR="00DB3E0E" w:rsidRDefault="00DB3E0E" w:rsidP="00DB3E0E">
      <w:pPr>
        <w:widowControl w:val="0"/>
        <w:rPr>
          <w:rFonts w:ascii="Arial" w:hAnsi="Arial" w:cs="Arial"/>
          <w:snapToGrid w:val="0"/>
        </w:rPr>
      </w:pPr>
    </w:p>
    <w:sectPr w:rsidR="00DB3E0E" w:rsidSect="008B7D1C">
      <w:pgSz w:w="11906" w:h="16838"/>
      <w:pgMar w:top="993"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Unit-Regular">
    <w:panose1 w:val="02000506040000020004"/>
    <w:charset w:val="00"/>
    <w:family w:val="auto"/>
    <w:pitch w:val="variable"/>
    <w:sig w:usb0="8000002F" w:usb1="4000004A" w:usb2="00000000" w:usb3="00000000" w:csb0="00000001" w:csb1="00000000"/>
  </w:font>
  <w:font w:name="CalibriLigh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6C2B59"/>
    <w:multiLevelType w:val="hybridMultilevel"/>
    <w:tmpl w:val="047A2026"/>
    <w:lvl w:ilvl="0" w:tplc="FE66286C">
      <w:numFmt w:val="bullet"/>
      <w:lvlText w:val="-"/>
      <w:lvlJc w:val="left"/>
      <w:pPr>
        <w:ind w:left="1769" w:hanging="360"/>
      </w:pPr>
      <w:rPr>
        <w:rFonts w:ascii="Calibri" w:eastAsia="Calibri" w:hAnsi="Calibri" w:cs="Times New Roman" w:hint="default"/>
      </w:rPr>
    </w:lvl>
    <w:lvl w:ilvl="1" w:tplc="04070003" w:tentative="1">
      <w:start w:val="1"/>
      <w:numFmt w:val="bullet"/>
      <w:lvlText w:val="o"/>
      <w:lvlJc w:val="left"/>
      <w:pPr>
        <w:ind w:left="2489" w:hanging="360"/>
      </w:pPr>
      <w:rPr>
        <w:rFonts w:ascii="Courier New" w:hAnsi="Courier New" w:cs="Courier New" w:hint="default"/>
      </w:rPr>
    </w:lvl>
    <w:lvl w:ilvl="2" w:tplc="04070005" w:tentative="1">
      <w:start w:val="1"/>
      <w:numFmt w:val="bullet"/>
      <w:lvlText w:val=""/>
      <w:lvlJc w:val="left"/>
      <w:pPr>
        <w:ind w:left="3209" w:hanging="360"/>
      </w:pPr>
      <w:rPr>
        <w:rFonts w:ascii="Wingdings" w:hAnsi="Wingdings" w:hint="default"/>
      </w:rPr>
    </w:lvl>
    <w:lvl w:ilvl="3" w:tplc="04070001" w:tentative="1">
      <w:start w:val="1"/>
      <w:numFmt w:val="bullet"/>
      <w:lvlText w:val=""/>
      <w:lvlJc w:val="left"/>
      <w:pPr>
        <w:ind w:left="3929" w:hanging="360"/>
      </w:pPr>
      <w:rPr>
        <w:rFonts w:ascii="Symbol" w:hAnsi="Symbol" w:hint="default"/>
      </w:rPr>
    </w:lvl>
    <w:lvl w:ilvl="4" w:tplc="04070003" w:tentative="1">
      <w:start w:val="1"/>
      <w:numFmt w:val="bullet"/>
      <w:lvlText w:val="o"/>
      <w:lvlJc w:val="left"/>
      <w:pPr>
        <w:ind w:left="4649" w:hanging="360"/>
      </w:pPr>
      <w:rPr>
        <w:rFonts w:ascii="Courier New" w:hAnsi="Courier New" w:cs="Courier New" w:hint="default"/>
      </w:rPr>
    </w:lvl>
    <w:lvl w:ilvl="5" w:tplc="04070005" w:tentative="1">
      <w:start w:val="1"/>
      <w:numFmt w:val="bullet"/>
      <w:lvlText w:val=""/>
      <w:lvlJc w:val="left"/>
      <w:pPr>
        <w:ind w:left="5369" w:hanging="360"/>
      </w:pPr>
      <w:rPr>
        <w:rFonts w:ascii="Wingdings" w:hAnsi="Wingdings" w:hint="default"/>
      </w:rPr>
    </w:lvl>
    <w:lvl w:ilvl="6" w:tplc="04070001" w:tentative="1">
      <w:start w:val="1"/>
      <w:numFmt w:val="bullet"/>
      <w:lvlText w:val=""/>
      <w:lvlJc w:val="left"/>
      <w:pPr>
        <w:ind w:left="6089" w:hanging="360"/>
      </w:pPr>
      <w:rPr>
        <w:rFonts w:ascii="Symbol" w:hAnsi="Symbol" w:hint="default"/>
      </w:rPr>
    </w:lvl>
    <w:lvl w:ilvl="7" w:tplc="04070003" w:tentative="1">
      <w:start w:val="1"/>
      <w:numFmt w:val="bullet"/>
      <w:lvlText w:val="o"/>
      <w:lvlJc w:val="left"/>
      <w:pPr>
        <w:ind w:left="6809" w:hanging="360"/>
      </w:pPr>
      <w:rPr>
        <w:rFonts w:ascii="Courier New" w:hAnsi="Courier New" w:cs="Courier New" w:hint="default"/>
      </w:rPr>
    </w:lvl>
    <w:lvl w:ilvl="8" w:tplc="04070005" w:tentative="1">
      <w:start w:val="1"/>
      <w:numFmt w:val="bullet"/>
      <w:lvlText w:val=""/>
      <w:lvlJc w:val="left"/>
      <w:pPr>
        <w:ind w:left="7529" w:hanging="360"/>
      </w:pPr>
      <w:rPr>
        <w:rFonts w:ascii="Wingdings" w:hAnsi="Wingdings" w:hint="default"/>
      </w:rPr>
    </w:lvl>
  </w:abstractNum>
  <w:abstractNum w:abstractNumId="1" w15:restartNumberingAfterBreak="0">
    <w:nsid w:val="6BBD08A7"/>
    <w:multiLevelType w:val="hybridMultilevel"/>
    <w:tmpl w:val="FCC22A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3A547DD"/>
    <w:multiLevelType w:val="hybridMultilevel"/>
    <w:tmpl w:val="4FAE2B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101"/>
    <w:rsid w:val="00072757"/>
    <w:rsid w:val="000E596A"/>
    <w:rsid w:val="00117694"/>
    <w:rsid w:val="00155292"/>
    <w:rsid w:val="001564B2"/>
    <w:rsid w:val="001F0633"/>
    <w:rsid w:val="002825A7"/>
    <w:rsid w:val="00365055"/>
    <w:rsid w:val="00374152"/>
    <w:rsid w:val="00381E09"/>
    <w:rsid w:val="004A5171"/>
    <w:rsid w:val="004C09B6"/>
    <w:rsid w:val="0051737D"/>
    <w:rsid w:val="00532445"/>
    <w:rsid w:val="005C2F18"/>
    <w:rsid w:val="00677F45"/>
    <w:rsid w:val="006A2473"/>
    <w:rsid w:val="006B18BD"/>
    <w:rsid w:val="006B7368"/>
    <w:rsid w:val="006D274B"/>
    <w:rsid w:val="006E23B4"/>
    <w:rsid w:val="0077415C"/>
    <w:rsid w:val="007A33D8"/>
    <w:rsid w:val="007B3212"/>
    <w:rsid w:val="007E17BC"/>
    <w:rsid w:val="00836FE9"/>
    <w:rsid w:val="008B7D1C"/>
    <w:rsid w:val="009718A7"/>
    <w:rsid w:val="009D005F"/>
    <w:rsid w:val="00A514EC"/>
    <w:rsid w:val="00A97819"/>
    <w:rsid w:val="00AF33B5"/>
    <w:rsid w:val="00B933C0"/>
    <w:rsid w:val="00BA3E20"/>
    <w:rsid w:val="00C415F6"/>
    <w:rsid w:val="00CB762B"/>
    <w:rsid w:val="00D77DBC"/>
    <w:rsid w:val="00DB3E0E"/>
    <w:rsid w:val="00DD5101"/>
    <w:rsid w:val="00FE3B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18679"/>
  <w15:chartTrackingRefBased/>
  <w15:docId w15:val="{1974C839-66BA-45D0-B4A0-A6749E14B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D5101"/>
    <w:pPr>
      <w:spacing w:after="0" w:line="240" w:lineRule="auto"/>
    </w:pPr>
    <w:rPr>
      <w:rFonts w:ascii="Times New Roman" w:eastAsia="Times New Roman" w:hAnsi="Times New Roman" w:cs="Times New Roman"/>
      <w:sz w:val="24"/>
      <w:szCs w:val="20"/>
      <w:lang w:eastAsia="de-DE"/>
    </w:rPr>
  </w:style>
  <w:style w:type="paragraph" w:styleId="berschrift1">
    <w:name w:val="heading 1"/>
    <w:basedOn w:val="Standard"/>
    <w:next w:val="Standard"/>
    <w:link w:val="berschrift1Zchn"/>
    <w:qFormat/>
    <w:rsid w:val="00DD5101"/>
    <w:pPr>
      <w:keepNext/>
      <w:outlineLvl w:val="0"/>
    </w:pPr>
    <w:rPr>
      <w:b/>
    </w:rPr>
  </w:style>
  <w:style w:type="paragraph" w:styleId="berschrift7">
    <w:name w:val="heading 7"/>
    <w:basedOn w:val="Standard"/>
    <w:next w:val="Standard"/>
    <w:link w:val="berschrift7Zchn"/>
    <w:uiPriority w:val="9"/>
    <w:semiHidden/>
    <w:unhideWhenUsed/>
    <w:qFormat/>
    <w:rsid w:val="00DD5101"/>
    <w:pPr>
      <w:spacing w:before="240" w:after="60"/>
      <w:outlineLvl w:val="6"/>
    </w:pPr>
    <w:rPr>
      <w:rFonts w:ascii="Calibri" w:hAnsi="Calibri"/>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DD5101"/>
    <w:rPr>
      <w:rFonts w:ascii="Times New Roman" w:eastAsia="Times New Roman" w:hAnsi="Times New Roman" w:cs="Times New Roman"/>
      <w:b/>
      <w:sz w:val="24"/>
      <w:szCs w:val="20"/>
      <w:lang w:eastAsia="de-DE"/>
    </w:rPr>
  </w:style>
  <w:style w:type="character" w:customStyle="1" w:styleId="berschrift7Zchn">
    <w:name w:val="Überschrift 7 Zchn"/>
    <w:basedOn w:val="Absatz-Standardschriftart"/>
    <w:link w:val="berschrift7"/>
    <w:uiPriority w:val="9"/>
    <w:semiHidden/>
    <w:rsid w:val="00DD5101"/>
    <w:rPr>
      <w:rFonts w:ascii="Calibri" w:eastAsia="Times New Roman" w:hAnsi="Calibri" w:cs="Times New Roman"/>
      <w:sz w:val="24"/>
      <w:szCs w:val="24"/>
      <w:lang w:eastAsia="de-DE"/>
    </w:rPr>
  </w:style>
  <w:style w:type="paragraph" w:styleId="Textkrper">
    <w:name w:val="Body Text"/>
    <w:basedOn w:val="Standard"/>
    <w:link w:val="TextkrperZchn"/>
    <w:uiPriority w:val="99"/>
    <w:semiHidden/>
    <w:unhideWhenUsed/>
    <w:rsid w:val="00DD5101"/>
    <w:pPr>
      <w:spacing w:after="120"/>
    </w:pPr>
    <w:rPr>
      <w:szCs w:val="24"/>
    </w:rPr>
  </w:style>
  <w:style w:type="character" w:customStyle="1" w:styleId="TextkrperZchn">
    <w:name w:val="Textkörper Zchn"/>
    <w:basedOn w:val="Absatz-Standardschriftart"/>
    <w:link w:val="Textkrper"/>
    <w:uiPriority w:val="99"/>
    <w:semiHidden/>
    <w:rsid w:val="00DD5101"/>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DD5101"/>
    <w:pPr>
      <w:ind w:left="720"/>
      <w:contextualSpacing/>
    </w:pPr>
  </w:style>
  <w:style w:type="table" w:styleId="Tabellenraster">
    <w:name w:val="Table Grid"/>
    <w:basedOn w:val="NormaleTabelle"/>
    <w:uiPriority w:val="59"/>
    <w:rsid w:val="00072757"/>
    <w:pPr>
      <w:spacing w:after="0" w:line="240" w:lineRule="auto"/>
      <w:ind w:left="142" w:hanging="357"/>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rsid w:val="001F063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F0633"/>
    <w:rPr>
      <w:rFonts w:ascii="Segoe UI" w:eastAsia="Times New Roman" w:hAnsi="Segoe UI" w:cs="Segoe UI"/>
      <w:sz w:val="18"/>
      <w:szCs w:val="18"/>
      <w:lang w:eastAsia="de-DE"/>
    </w:rPr>
  </w:style>
  <w:style w:type="paragraph" w:styleId="Beschriftung">
    <w:name w:val="caption"/>
    <w:basedOn w:val="Standard"/>
    <w:next w:val="Standard"/>
    <w:uiPriority w:val="35"/>
    <w:unhideWhenUsed/>
    <w:qFormat/>
    <w:rsid w:val="00C415F6"/>
    <w:pPr>
      <w:spacing w:after="200"/>
    </w:pPr>
    <w:rPr>
      <w:rFonts w:ascii="Arial" w:hAnsi="Arial"/>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77056">
      <w:bodyDiv w:val="1"/>
      <w:marLeft w:val="0"/>
      <w:marRight w:val="0"/>
      <w:marTop w:val="0"/>
      <w:marBottom w:val="0"/>
      <w:divBdr>
        <w:top w:val="none" w:sz="0" w:space="0" w:color="auto"/>
        <w:left w:val="none" w:sz="0" w:space="0" w:color="auto"/>
        <w:bottom w:val="none" w:sz="0" w:space="0" w:color="auto"/>
        <w:right w:val="none" w:sz="0" w:space="0" w:color="auto"/>
      </w:divBdr>
    </w:div>
    <w:div w:id="1497459011">
      <w:bodyDiv w:val="1"/>
      <w:marLeft w:val="0"/>
      <w:marRight w:val="0"/>
      <w:marTop w:val="0"/>
      <w:marBottom w:val="0"/>
      <w:divBdr>
        <w:top w:val="none" w:sz="0" w:space="0" w:color="auto"/>
        <w:left w:val="none" w:sz="0" w:space="0" w:color="auto"/>
        <w:bottom w:val="none" w:sz="0" w:space="0" w:color="auto"/>
        <w:right w:val="none" w:sz="0" w:space="0" w:color="auto"/>
      </w:divBdr>
    </w:div>
    <w:div w:id="1561674434">
      <w:bodyDiv w:val="1"/>
      <w:marLeft w:val="0"/>
      <w:marRight w:val="0"/>
      <w:marTop w:val="0"/>
      <w:marBottom w:val="0"/>
      <w:divBdr>
        <w:top w:val="none" w:sz="0" w:space="0" w:color="auto"/>
        <w:left w:val="none" w:sz="0" w:space="0" w:color="auto"/>
        <w:bottom w:val="none" w:sz="0" w:space="0" w:color="auto"/>
        <w:right w:val="none" w:sz="0" w:space="0" w:color="auto"/>
      </w:divBdr>
    </w:div>
    <w:div w:id="174753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841</Words>
  <Characters>5299</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steiniger</dc:creator>
  <cp:keywords/>
  <dc:description/>
  <cp:lastModifiedBy>steiniger</cp:lastModifiedBy>
  <cp:revision>2</cp:revision>
  <cp:lastPrinted>2022-11-14T12:27:00Z</cp:lastPrinted>
  <dcterms:created xsi:type="dcterms:W3CDTF">2025-01-08T13:02:00Z</dcterms:created>
  <dcterms:modified xsi:type="dcterms:W3CDTF">2025-01-08T13:02:00Z</dcterms:modified>
</cp:coreProperties>
</file>